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25DBFCF8"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w:t>
      </w:r>
      <w:r w:rsidRPr="00C00324">
        <w:rPr>
          <w:rFonts w:ascii="Arial" w:hAnsi="Arial" w:cs="Arial"/>
          <w:sz w:val="22"/>
          <w:szCs w:val="22"/>
        </w:rPr>
        <w:t>) .................., e CPF nº .........................,</w:t>
      </w:r>
      <w:r w:rsidR="009872FB" w:rsidRPr="00C00324">
        <w:rPr>
          <w:rFonts w:ascii="Arial" w:hAnsi="Arial" w:cs="Arial"/>
          <w:sz w:val="22"/>
          <w:szCs w:val="22"/>
        </w:rPr>
        <w:t xml:space="preserve"> </w:t>
      </w:r>
      <w:r w:rsidR="009872FB" w:rsidRPr="00C00324">
        <w:rPr>
          <w:rFonts w:ascii="Arial" w:hAnsi="Arial" w:cs="Arial"/>
          <w:i/>
          <w:iCs/>
          <w:sz w:val="22"/>
          <w:szCs w:val="22"/>
          <w:lang w:val="pt-PT"/>
        </w:rPr>
        <w:t xml:space="preserve">conforme atos constitutivos da empresa </w:t>
      </w:r>
      <w:r w:rsidR="009872FB" w:rsidRPr="00C00324">
        <w:rPr>
          <w:rFonts w:ascii="Arial" w:hAnsi="Arial" w:cs="Arial"/>
          <w:b/>
          <w:bCs/>
          <w:i/>
          <w:iCs/>
          <w:sz w:val="22"/>
          <w:szCs w:val="22"/>
          <w:lang w:val="pt-PT"/>
        </w:rPr>
        <w:t>OU</w:t>
      </w:r>
      <w:r w:rsidR="009872FB" w:rsidRPr="00C00324">
        <w:rPr>
          <w:rFonts w:ascii="Arial" w:hAnsi="Arial" w:cs="Arial"/>
          <w:i/>
          <w:iCs/>
          <w:sz w:val="22"/>
          <w:szCs w:val="22"/>
          <w:lang w:val="pt-PT"/>
        </w:rPr>
        <w:t xml:space="preserve"> procuração apresentada nos autos</w:t>
      </w:r>
      <w:r w:rsidRPr="00C00324">
        <w:rPr>
          <w:rFonts w:ascii="Arial" w:hAnsi="Arial" w:cs="Arial"/>
          <w:sz w:val="22"/>
          <w:szCs w:val="22"/>
        </w:rPr>
        <w:t xml:space="preserve"> tendo em vista o que consta no </w:t>
      </w:r>
      <w:r w:rsidR="005466C3" w:rsidRPr="00C00324">
        <w:rPr>
          <w:rFonts w:ascii="Arial" w:hAnsi="Arial" w:cs="Arial"/>
          <w:b/>
          <w:bCs/>
          <w:sz w:val="22"/>
          <w:szCs w:val="22"/>
        </w:rPr>
        <w:t xml:space="preserve">Processo Administrativo nº </w:t>
      </w:r>
      <w:r w:rsidR="00C00324" w:rsidRPr="00C00324">
        <w:rPr>
          <w:rFonts w:ascii="Arial" w:hAnsi="Arial" w:cs="Arial"/>
          <w:b/>
          <w:bCs/>
          <w:sz w:val="22"/>
          <w:szCs w:val="22"/>
        </w:rPr>
        <w:t>2.719/202</w:t>
      </w:r>
      <w:r w:rsidR="00750564">
        <w:rPr>
          <w:rFonts w:ascii="Arial" w:hAnsi="Arial" w:cs="Arial"/>
          <w:b/>
          <w:bCs/>
          <w:sz w:val="22"/>
          <w:szCs w:val="22"/>
        </w:rPr>
        <w:t>4</w:t>
      </w:r>
      <w:r w:rsidR="0071720D" w:rsidRPr="00C00324">
        <w:rPr>
          <w:rFonts w:ascii="Arial" w:hAnsi="Arial" w:cs="Arial"/>
          <w:b/>
          <w:bCs/>
          <w:sz w:val="22"/>
          <w:szCs w:val="22"/>
        </w:rPr>
        <w:t>,</w:t>
      </w:r>
      <w:r w:rsidR="005466C3" w:rsidRPr="00C00324">
        <w:rPr>
          <w:rFonts w:ascii="Arial" w:hAnsi="Arial" w:cs="Arial"/>
          <w:b/>
          <w:bCs/>
          <w:sz w:val="22"/>
          <w:szCs w:val="22"/>
        </w:rPr>
        <w:t xml:space="preserve"> </w:t>
      </w:r>
      <w:r w:rsidRPr="00C00324">
        <w:rPr>
          <w:rFonts w:ascii="Arial" w:hAnsi="Arial" w:cs="Arial"/>
          <w:sz w:val="22"/>
          <w:szCs w:val="22"/>
        </w:rPr>
        <w:t xml:space="preserve">e em observância às disposições da Lei nº </w:t>
      </w:r>
      <w:r w:rsidR="00F232EF" w:rsidRPr="00C00324">
        <w:rPr>
          <w:rFonts w:ascii="Arial" w:hAnsi="Arial" w:cs="Arial"/>
          <w:sz w:val="22"/>
          <w:szCs w:val="22"/>
        </w:rPr>
        <w:t xml:space="preserve">14.133, </w:t>
      </w:r>
      <w:r w:rsidR="009872FB" w:rsidRPr="00C00324">
        <w:rPr>
          <w:rFonts w:ascii="Arial" w:hAnsi="Arial" w:cs="Arial"/>
          <w:sz w:val="22"/>
          <w:szCs w:val="22"/>
        </w:rPr>
        <w:t xml:space="preserve">de 1º de abril </w:t>
      </w:r>
      <w:r w:rsidR="00F232EF" w:rsidRPr="00C00324">
        <w:rPr>
          <w:rFonts w:ascii="Arial" w:hAnsi="Arial" w:cs="Arial"/>
          <w:sz w:val="22"/>
          <w:szCs w:val="22"/>
        </w:rPr>
        <w:t>de 2021</w:t>
      </w:r>
      <w:r w:rsidR="0050761F" w:rsidRPr="00C00324">
        <w:rPr>
          <w:rFonts w:ascii="Arial" w:hAnsi="Arial" w:cs="Arial"/>
          <w:sz w:val="22"/>
          <w:szCs w:val="22"/>
        </w:rPr>
        <w:t xml:space="preserve"> </w:t>
      </w:r>
      <w:r w:rsidR="0050761F" w:rsidRPr="00C00324">
        <w:rPr>
          <w:rFonts w:ascii="Arial" w:hAnsi="Arial" w:cs="Arial"/>
          <w:sz w:val="22"/>
          <w:szCs w:val="22"/>
          <w:lang w:val="pt-PT"/>
        </w:rPr>
        <w:t xml:space="preserve">e </w:t>
      </w:r>
      <w:r w:rsidR="009872FB" w:rsidRPr="00C00324">
        <w:rPr>
          <w:rFonts w:ascii="Arial" w:hAnsi="Arial" w:cs="Arial"/>
          <w:sz w:val="22"/>
          <w:szCs w:val="22"/>
          <w:lang w:val="pt-PT"/>
        </w:rPr>
        <w:t>demais legislações aplicáveis</w:t>
      </w:r>
      <w:r w:rsidR="006306EF" w:rsidRPr="00C00324">
        <w:rPr>
          <w:rFonts w:ascii="Arial" w:hAnsi="Arial" w:cs="Arial"/>
          <w:sz w:val="22"/>
          <w:szCs w:val="22"/>
        </w:rPr>
        <w:t>,</w:t>
      </w:r>
      <w:r w:rsidRPr="00C00324">
        <w:rPr>
          <w:rFonts w:ascii="Arial" w:hAnsi="Arial" w:cs="Arial"/>
          <w:i/>
          <w:sz w:val="22"/>
          <w:szCs w:val="22"/>
        </w:rPr>
        <w:t xml:space="preserve"> </w:t>
      </w:r>
      <w:r w:rsidRPr="00C00324">
        <w:rPr>
          <w:rFonts w:ascii="Arial" w:hAnsi="Arial" w:cs="Arial"/>
          <w:sz w:val="22"/>
          <w:szCs w:val="22"/>
        </w:rPr>
        <w:t xml:space="preserve">resolvem celebrar o presente Termo de Contrato, decorrente do </w:t>
      </w:r>
      <w:r w:rsidR="005466C3" w:rsidRPr="00C00324">
        <w:rPr>
          <w:rFonts w:ascii="Arial" w:hAnsi="Arial" w:cs="Arial"/>
          <w:b/>
          <w:bCs/>
          <w:sz w:val="22"/>
          <w:szCs w:val="22"/>
        </w:rPr>
        <w:t>Pregão Eletrônico</w:t>
      </w:r>
      <w:r w:rsidR="000B23ED" w:rsidRPr="00C00324">
        <w:rPr>
          <w:rFonts w:ascii="Arial" w:hAnsi="Arial" w:cs="Arial"/>
          <w:b/>
          <w:bCs/>
          <w:sz w:val="22"/>
          <w:szCs w:val="22"/>
        </w:rPr>
        <w:t xml:space="preserve"> </w:t>
      </w:r>
      <w:r w:rsidR="005466C3" w:rsidRPr="00C00324">
        <w:rPr>
          <w:rFonts w:ascii="Arial" w:hAnsi="Arial" w:cs="Arial"/>
          <w:b/>
          <w:bCs/>
          <w:sz w:val="22"/>
          <w:szCs w:val="22"/>
        </w:rPr>
        <w:t xml:space="preserve">nº </w:t>
      </w:r>
      <w:r w:rsidR="00C00324" w:rsidRPr="00C00324">
        <w:rPr>
          <w:rFonts w:ascii="Arial" w:hAnsi="Arial" w:cs="Arial"/>
          <w:b/>
          <w:bCs/>
          <w:sz w:val="22"/>
          <w:szCs w:val="22"/>
        </w:rPr>
        <w:t>90.104/2025</w:t>
      </w:r>
      <w:r w:rsidRPr="00C00324">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15F56414"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C00324" w:rsidRPr="00C00324">
        <w:rPr>
          <w:rFonts w:ascii="Arial" w:eastAsia="Times New Roman" w:hAnsi="Arial" w:cs="Arial"/>
          <w:b/>
          <w:bCs/>
          <w:lang w:val="pt-BR" w:eastAsia="pt-BR"/>
        </w:rPr>
        <w:t>CONTRATAÇÃO de empresa para aquisição de computadores e notebooks para atender as necessidades da Secretaria de Desenvolvimento Social e Direitos Humanos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1C97641A" w14:textId="6F916921" w:rsidR="007F0EEE" w:rsidRPr="00AD30DE" w:rsidRDefault="007F0EEE" w:rsidP="007F0EEE">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AD30DE">
        <w:rPr>
          <w:rFonts w:ascii="Arial" w:hAnsi="Arial" w:cs="Arial"/>
          <w:bCs/>
          <w:iCs/>
          <w:u w:val="single"/>
        </w:rPr>
        <w:t>MODELO DE EXECUÇÃO DO OBJETO (arts. 6º, XXIII, alínea “e” e 40, §1º, inciso II, da Lei nº 14.133/2021):</w:t>
      </w:r>
    </w:p>
    <w:p w14:paraId="2DC34C63" w14:textId="77777777" w:rsidR="007F0EE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O prazo de entrega/execução é de imediato 30 (trinta) dias(úteis), contados do dia seguinte ao recebimento da Nota de Empenho, Autorização de fornecimento ou documento equivalente.</w:t>
      </w:r>
    </w:p>
    <w:p w14:paraId="328E2CE9" w14:textId="77777777" w:rsidR="007F0EE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Caso não seja possível a entrega na data assinalada, a empresa deverá comunicar as razões respectivas com pelo menos 7 (sete) dias de antecedência para que qualquer pleito de prorrogação de prazo seja analisado, ressalvadas situações de caso fortuito e força maior.</w:t>
      </w:r>
      <w:bookmarkStart w:id="3" w:name="_heading=h.1fob9te" w:colFirst="0" w:colLast="0"/>
      <w:bookmarkEnd w:id="3"/>
    </w:p>
    <w:p w14:paraId="10EA1F63"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Os bens deverão ser entregues no seguinte endereço:</w:t>
      </w:r>
      <w:r w:rsidRPr="00AD30DE">
        <w:rPr>
          <w:rFonts w:ascii="Arial" w:hAnsi="Arial" w:cs="Arial"/>
          <w:bCs/>
          <w:iCs/>
        </w:rPr>
        <w:br/>
        <w:t xml:space="preserve">Alameda Eduardo Guinle, 137 – Centro – Cep: 28.625-130. De seg. a sex. das 09:00h às 17:00h. </w:t>
      </w:r>
    </w:p>
    <w:p w14:paraId="11F10603"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Os bens serão recebidos provisoriamente, de forma sumária, no prazo de 2(dois) dias, pelo(a) responsável pelo acompanhamento e fiscalização do contrato, para efeito de posterior verificação de sua conformidade com as especificações constantes neste Termo de Referência e na proposta.</w:t>
      </w:r>
    </w:p>
    <w:p w14:paraId="681F50BB"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Os bens poderão ser rejeitados, no todo ou em parte, quando em desacordo com as especificações constantes neste Termo de Referência e na proposta, devendo ser substituídos no prazo de 3(três) dias, a contar da notificação da contratada, às suas custas, sem prejuízo da aplicação das penalidades.</w:t>
      </w:r>
    </w:p>
    <w:p w14:paraId="2F090A2D"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Os bens serão recebidos definitivamente no prazo de 3(três) dias, contados do recebimento provisório, após a verificação da qualidade e quantidade do material e consequente aceitação mediante termo detalhado.</w:t>
      </w:r>
    </w:p>
    <w:p w14:paraId="76F39A43"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Na hipótese de a verificação a que se refere o subitem anterior não ser procedida dentro do prazo fixado, reputar-se-á como realizada, consumando-se o recebimento definitivo </w:t>
      </w:r>
      <w:r w:rsidRPr="00AD30DE">
        <w:rPr>
          <w:rFonts w:ascii="Arial" w:hAnsi="Arial" w:cs="Arial"/>
          <w:bCs/>
          <w:iCs/>
        </w:rPr>
        <w:lastRenderedPageBreak/>
        <w:t>no dia do esgotamento do prazo.</w:t>
      </w:r>
    </w:p>
    <w:p w14:paraId="3F8B0C0C"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20F18240"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O prazo de garantia contratual dos bens, complementar à garantia legal, é de, no mínimo, 12 (doze) meses, ou pelo prazo fornecido pelo fabricante, se superior, contado a partir do primeiro dia útil subsequente à data do recebimento definitivo do objeto. </w:t>
      </w:r>
    </w:p>
    <w:p w14:paraId="1F3976C3"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A garantia será prestada com vistas a manter os equipamentos fornecidos em perfeitas condições de uso, sem qualquer ônus ou custo adicional para o Contratante. </w:t>
      </w:r>
    </w:p>
    <w:p w14:paraId="0D44192E"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A garantia abrange a realização da manutenção corretiva dos bens pelo próprio Contratado, ou, se for o caso, por meio de assistência técnica autorizada, de acordo com as normas técnicas específicas. </w:t>
      </w:r>
    </w:p>
    <w:p w14:paraId="4BF6E71A"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Entende-se por manutenção corretiva aquela destinada a corrigir os defeitos apresentados pelos bens, compreendendo a substituição de peças, a realização de ajustes, reparos e correções necessárias. </w:t>
      </w:r>
    </w:p>
    <w:p w14:paraId="012DB87E"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647FAFDA"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Uma vez notificado, o Contratado realizará a reparação ou substituição dos bens que apresentarem vício ou defeito no prazo de até 7 (sete) dias úteis, contados a partir da data de retirada do equipamento das dependências da Administração pelo Contratado ou pela assistência técnica autorizada. </w:t>
      </w:r>
    </w:p>
    <w:p w14:paraId="620987D4"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O prazo indicado no subitem anterior, durante seu transcurso, poderá ser prorrogado uma única vez, por igual período, mediante solicitação escrita e justificada do Contratado, aceita pelo Contratante. </w:t>
      </w:r>
    </w:p>
    <w:p w14:paraId="40A80D10"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0BA7BA2A"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4BA9FC34" w14:textId="77777777" w:rsidR="00AD30DE" w:rsidRPr="00AD30D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O custo referente ao transporte dos equipamentos cobertos pela garantia será de responsabilidade do Contratado. </w:t>
      </w:r>
    </w:p>
    <w:p w14:paraId="71CF1835" w14:textId="756BBC02" w:rsidR="007F0EEE" w:rsidRDefault="007F0EEE" w:rsidP="00AD30DE">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AD30DE">
        <w:rPr>
          <w:rFonts w:ascii="Arial" w:hAnsi="Arial" w:cs="Arial"/>
          <w:bCs/>
          <w:iCs/>
        </w:rPr>
        <w:t xml:space="preserve">A garantia legal ou contratual do objeto tem prazo de vigência próprio e desvinculado </w:t>
      </w:r>
      <w:r w:rsidRPr="00AD30DE">
        <w:rPr>
          <w:rFonts w:ascii="Arial" w:hAnsi="Arial" w:cs="Arial"/>
          <w:bCs/>
          <w:iCs/>
        </w:rPr>
        <w:lastRenderedPageBreak/>
        <w:t>daquele fixado no contrato, permitindo eventual aplicação de penalidades em caso de descumprimento de alguma de suas condições, mesmo depois de expirada a vigência contratual.</w:t>
      </w:r>
    </w:p>
    <w:p w14:paraId="411890B0" w14:textId="19BB7119" w:rsidR="00AD30DE" w:rsidRPr="00B07ADD" w:rsidRDefault="00AD30DE" w:rsidP="00B07ADD">
      <w:pPr>
        <w:pStyle w:val="PargrafodaLista"/>
        <w:numPr>
          <w:ilvl w:val="1"/>
          <w:numId w:val="2"/>
        </w:numPr>
        <w:pBdr>
          <w:top w:val="nil"/>
          <w:left w:val="nil"/>
          <w:bottom w:val="nil"/>
          <w:right w:val="nil"/>
          <w:between w:val="nil"/>
        </w:pBdr>
        <w:spacing w:before="0" w:line="360" w:lineRule="auto"/>
        <w:ind w:left="0" w:firstLine="0"/>
        <w:jc w:val="both"/>
        <w:rPr>
          <w:rFonts w:ascii="Arial" w:hAnsi="Arial" w:cs="Arial"/>
          <w:bCs/>
          <w:iCs/>
          <w:u w:val="single"/>
        </w:rPr>
      </w:pPr>
      <w:r w:rsidRPr="00B07ADD">
        <w:rPr>
          <w:rFonts w:ascii="Arial" w:hAnsi="Arial" w:cs="Arial"/>
          <w:bCs/>
          <w:iCs/>
          <w:u w:val="single"/>
        </w:rPr>
        <w:t>MODELO DE GESTÃO DO CONTRATO (art. 6º, XXIII, alínea “f”, da Lei nº 14.133/21):</w:t>
      </w:r>
    </w:p>
    <w:p w14:paraId="6D6F974D" w14:textId="5D238A54" w:rsidR="00AD30DE" w:rsidRPr="00B07ADD" w:rsidRDefault="00AD30DE" w:rsidP="00B07ADD">
      <w:pPr>
        <w:pStyle w:val="PargrafodaLista"/>
        <w:widowControl/>
        <w:numPr>
          <w:ilvl w:val="2"/>
          <w:numId w:val="2"/>
        </w:numPr>
        <w:pBdr>
          <w:top w:val="nil"/>
          <w:left w:val="nil"/>
          <w:bottom w:val="nil"/>
          <w:right w:val="nil"/>
          <w:between w:val="nil"/>
        </w:pBdr>
        <w:suppressAutoHyphens/>
        <w:overflowPunct w:val="0"/>
        <w:autoSpaceDE/>
        <w:autoSpaceDN/>
        <w:spacing w:before="0" w:line="360" w:lineRule="auto"/>
        <w:ind w:left="0" w:firstLine="0"/>
        <w:jc w:val="both"/>
        <w:rPr>
          <w:rFonts w:ascii="Arial" w:hAnsi="Arial" w:cs="Arial"/>
          <w:bCs/>
          <w:iCs/>
        </w:rPr>
      </w:pPr>
      <w:r w:rsidRPr="00B07ADD">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6D0C4DB8" w14:textId="30459E7B" w:rsidR="00AD30DE" w:rsidRPr="00B07ADD" w:rsidRDefault="00AD30DE" w:rsidP="00B07ADD">
      <w:pPr>
        <w:pStyle w:val="PargrafodaLista"/>
        <w:widowControl/>
        <w:numPr>
          <w:ilvl w:val="2"/>
          <w:numId w:val="2"/>
        </w:numPr>
        <w:pBdr>
          <w:top w:val="nil"/>
          <w:left w:val="nil"/>
          <w:bottom w:val="nil"/>
          <w:right w:val="nil"/>
          <w:between w:val="nil"/>
        </w:pBdr>
        <w:suppressAutoHyphens/>
        <w:overflowPunct w:val="0"/>
        <w:autoSpaceDE/>
        <w:autoSpaceDN/>
        <w:spacing w:before="0" w:line="360" w:lineRule="auto"/>
        <w:ind w:left="0" w:firstLine="0"/>
        <w:jc w:val="both"/>
        <w:rPr>
          <w:rFonts w:ascii="Arial" w:hAnsi="Arial" w:cs="Arial"/>
          <w:bCs/>
          <w:iCs/>
        </w:rPr>
      </w:pPr>
      <w:bookmarkStart w:id="4" w:name="bookmark=id.2et92p0" w:colFirst="0" w:colLast="0"/>
      <w:bookmarkStart w:id="5" w:name="bookmark=id.3znysh7" w:colFirst="0" w:colLast="0"/>
      <w:bookmarkEnd w:id="4"/>
      <w:bookmarkEnd w:id="5"/>
      <w:r w:rsidRPr="00B07ADD">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24C37E3F" w14:textId="02641394" w:rsidR="00AD30DE" w:rsidRPr="00B07ADD" w:rsidRDefault="00AD30DE" w:rsidP="00B07ADD">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3.2.3 A execução do contrato deverá ser acompanhada e fiscalizada pelo(s) fiscal(is) do contrato, ou pelos respectivos substitutos (Lei nº 14.133/2021, art. 117, caput).</w:t>
      </w:r>
    </w:p>
    <w:p w14:paraId="7ACF01A9" w14:textId="6E29F273" w:rsidR="00AD30DE" w:rsidRPr="00B07ADD" w:rsidRDefault="00AD30DE" w:rsidP="00B07ADD">
      <w:pPr>
        <w:pBdr>
          <w:top w:val="nil"/>
          <w:left w:val="nil"/>
          <w:bottom w:val="nil"/>
          <w:right w:val="nil"/>
          <w:between w:val="nil"/>
        </w:pBdr>
        <w:tabs>
          <w:tab w:val="left" w:pos="360"/>
          <w:tab w:val="left" w:pos="360"/>
          <w:tab w:val="left" w:pos="450"/>
        </w:tabs>
        <w:spacing w:line="360" w:lineRule="auto"/>
        <w:jc w:val="both"/>
        <w:rPr>
          <w:rFonts w:ascii="Arial" w:hAnsi="Arial" w:cs="Arial"/>
          <w:bCs/>
          <w:iCs/>
        </w:rPr>
      </w:pPr>
      <w:r w:rsidRPr="00B07ADD">
        <w:rPr>
          <w:rFonts w:ascii="Arial" w:hAnsi="Arial" w:cs="Arial"/>
          <w:bCs/>
          <w:iCs/>
        </w:rPr>
        <w:t>3.2.4 O fiscal do contrato anotará em registro próprio todas as ocorrências relacionadas à execução do contrato, determinando o que for necessário para a regularização das faltas ou dos defeitos observados (Lei nº 14.133/2021, art. 117, §1º).</w:t>
      </w:r>
    </w:p>
    <w:p w14:paraId="727FBB3C" w14:textId="7FF13502" w:rsidR="00AD30DE" w:rsidRPr="00B07ADD" w:rsidRDefault="00AD30DE" w:rsidP="00B07ADD">
      <w:pPr>
        <w:pBdr>
          <w:top w:val="nil"/>
          <w:left w:val="nil"/>
          <w:bottom w:val="nil"/>
          <w:right w:val="nil"/>
          <w:between w:val="nil"/>
        </w:pBdr>
        <w:tabs>
          <w:tab w:val="left" w:pos="360"/>
          <w:tab w:val="left" w:pos="360"/>
          <w:tab w:val="left" w:pos="450"/>
        </w:tabs>
        <w:spacing w:line="360" w:lineRule="auto"/>
        <w:jc w:val="both"/>
        <w:rPr>
          <w:rFonts w:ascii="Arial" w:hAnsi="Arial" w:cs="Arial"/>
          <w:bCs/>
          <w:iCs/>
        </w:rPr>
      </w:pPr>
      <w:bookmarkStart w:id="6" w:name="bookmark=id.3dy6vkm" w:colFirst="0" w:colLast="0"/>
      <w:bookmarkEnd w:id="6"/>
      <w:r w:rsidRPr="00B07ADD">
        <w:rPr>
          <w:rFonts w:ascii="Arial" w:hAnsi="Arial" w:cs="Arial"/>
          <w:bCs/>
          <w:iCs/>
        </w:rPr>
        <w:t>3.2.5 O fiscal do contrato informará a seus superiores, em tempo hábil para a adoção das medidas convenientes, a situação que demandar decisão ou providência que ultrapasse sua competência (Lei nº 14.133/2021, art. 117, §2º).</w:t>
      </w:r>
    </w:p>
    <w:p w14:paraId="293EDCF7" w14:textId="7AF7D0A0" w:rsidR="00AD30DE" w:rsidRPr="00B07ADD" w:rsidRDefault="00AD30DE" w:rsidP="00B07ADD">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6BAFC66C" w14:textId="7A2B9A0C" w:rsidR="00AD30DE" w:rsidRPr="00B07ADD" w:rsidRDefault="00AD30DE" w:rsidP="00B07ADD">
      <w:pPr>
        <w:pStyle w:val="PargrafodaLista"/>
        <w:widowControl/>
        <w:numPr>
          <w:ilvl w:val="2"/>
          <w:numId w:val="11"/>
        </w:numPr>
        <w:pBdr>
          <w:top w:val="nil"/>
          <w:left w:val="nil"/>
          <w:bottom w:val="nil"/>
          <w:right w:val="nil"/>
          <w:between w:val="nil"/>
        </w:pBdr>
        <w:suppressAutoHyphens/>
        <w:overflowPunct w:val="0"/>
        <w:autoSpaceDE/>
        <w:autoSpaceDN/>
        <w:spacing w:before="0" w:line="360" w:lineRule="auto"/>
        <w:ind w:left="0" w:firstLine="0"/>
        <w:jc w:val="both"/>
        <w:rPr>
          <w:rFonts w:ascii="Arial" w:hAnsi="Arial" w:cs="Arial"/>
          <w:bCs/>
          <w:iCs/>
        </w:rPr>
      </w:pPr>
      <w:bookmarkStart w:id="7" w:name="bookmark=id.1t3h5sf" w:colFirst="0" w:colLast="0"/>
      <w:bookmarkEnd w:id="7"/>
      <w:r w:rsidRPr="00B07ADD">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515BFD24" w14:textId="6CA3E0D9" w:rsidR="00AD30DE" w:rsidRPr="00B07ADD" w:rsidRDefault="00AD30DE" w:rsidP="00B07ADD">
      <w:pPr>
        <w:pStyle w:val="PargrafodaLista"/>
        <w:widowControl/>
        <w:numPr>
          <w:ilvl w:val="2"/>
          <w:numId w:val="11"/>
        </w:numPr>
        <w:pBdr>
          <w:top w:val="nil"/>
          <w:left w:val="nil"/>
          <w:bottom w:val="nil"/>
          <w:right w:val="nil"/>
          <w:between w:val="nil"/>
        </w:pBdr>
        <w:suppressAutoHyphens/>
        <w:overflowPunct w:val="0"/>
        <w:autoSpaceDE/>
        <w:autoSpaceDN/>
        <w:spacing w:before="0" w:line="360" w:lineRule="auto"/>
        <w:ind w:left="0" w:firstLine="0"/>
        <w:jc w:val="both"/>
        <w:rPr>
          <w:rFonts w:ascii="Arial" w:hAnsi="Arial" w:cs="Arial"/>
          <w:bCs/>
          <w:iCs/>
        </w:rPr>
      </w:pPr>
      <w:bookmarkStart w:id="8" w:name="bookmark=id.4d34og8" w:colFirst="0" w:colLast="0"/>
      <w:bookmarkEnd w:id="8"/>
      <w:r w:rsidRPr="00B07ADD">
        <w:rPr>
          <w:rFonts w:ascii="Arial" w:hAnsi="Arial" w:cs="Arial"/>
          <w:bCs/>
          <w:iCs/>
        </w:rPr>
        <w:t>Somente o contratado será responsável pelos encargos trabalhistas, previdenciários, fiscais e comerciais resultantes da execução do contrato (Lei nº 14.133/2021, art. 121, caput).</w:t>
      </w:r>
    </w:p>
    <w:p w14:paraId="510B3B19" w14:textId="48CBF5AC" w:rsidR="00AD30DE" w:rsidRPr="00B07ADD" w:rsidRDefault="00AD30DE" w:rsidP="00B07ADD">
      <w:pPr>
        <w:pStyle w:val="PargrafodaLista"/>
        <w:widowControl/>
        <w:numPr>
          <w:ilvl w:val="2"/>
          <w:numId w:val="11"/>
        </w:numPr>
        <w:pBdr>
          <w:top w:val="nil"/>
          <w:left w:val="nil"/>
          <w:bottom w:val="nil"/>
          <w:right w:val="nil"/>
          <w:between w:val="nil"/>
        </w:pBdr>
        <w:tabs>
          <w:tab w:val="left" w:pos="360"/>
        </w:tabs>
        <w:suppressAutoHyphens/>
        <w:overflowPunct w:val="0"/>
        <w:autoSpaceDE/>
        <w:autoSpaceDN/>
        <w:spacing w:before="0" w:line="360" w:lineRule="auto"/>
        <w:ind w:left="0" w:firstLine="0"/>
        <w:jc w:val="both"/>
        <w:rPr>
          <w:rFonts w:ascii="Arial" w:hAnsi="Arial" w:cs="Arial"/>
          <w:bCs/>
          <w:iCs/>
        </w:rPr>
      </w:pPr>
      <w:bookmarkStart w:id="9" w:name="bookmark=id.2s8eyo1" w:colFirst="0" w:colLast="0"/>
      <w:bookmarkEnd w:id="9"/>
      <w:r w:rsidRPr="00B07ADD">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36E712F0" w14:textId="2DE05516" w:rsidR="00AD30DE" w:rsidRPr="00B07ADD" w:rsidRDefault="00AD30DE" w:rsidP="00B07ADD">
      <w:pPr>
        <w:pStyle w:val="PargrafodaLista"/>
        <w:widowControl/>
        <w:numPr>
          <w:ilvl w:val="2"/>
          <w:numId w:val="11"/>
        </w:numPr>
        <w:pBdr>
          <w:top w:val="nil"/>
          <w:left w:val="nil"/>
          <w:bottom w:val="nil"/>
          <w:right w:val="nil"/>
          <w:between w:val="nil"/>
        </w:pBdr>
        <w:suppressAutoHyphens/>
        <w:overflowPunct w:val="0"/>
        <w:autoSpaceDE/>
        <w:autoSpaceDN/>
        <w:spacing w:before="0" w:line="360" w:lineRule="auto"/>
        <w:ind w:left="0" w:firstLine="0"/>
        <w:jc w:val="both"/>
        <w:rPr>
          <w:rFonts w:ascii="Arial" w:hAnsi="Arial" w:cs="Arial"/>
          <w:bCs/>
          <w:iCs/>
        </w:rPr>
      </w:pPr>
      <w:bookmarkStart w:id="10" w:name="bookmark=id.26in1rg" w:colFirst="0" w:colLast="0"/>
      <w:bookmarkStart w:id="11" w:name="bookmark=id.17dp8vu" w:colFirst="0" w:colLast="0"/>
      <w:bookmarkStart w:id="12" w:name="bookmark=id.3rdcrjn" w:colFirst="0" w:colLast="0"/>
      <w:bookmarkStart w:id="13" w:name="bookmark=id.35nkun2" w:colFirst="0" w:colLast="0"/>
      <w:bookmarkStart w:id="14" w:name="bookmark=id.lnxbz9" w:colFirst="0" w:colLast="0"/>
      <w:bookmarkEnd w:id="10"/>
      <w:bookmarkEnd w:id="11"/>
      <w:bookmarkEnd w:id="12"/>
      <w:bookmarkEnd w:id="13"/>
      <w:bookmarkEnd w:id="14"/>
      <w:r w:rsidRPr="00B07ADD">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59CE4765" w14:textId="3E2A0130" w:rsidR="00AD30DE" w:rsidRPr="00B07ADD" w:rsidRDefault="00AD30DE" w:rsidP="00B07ADD">
      <w:pPr>
        <w:pStyle w:val="PargrafodaLista"/>
        <w:widowControl/>
        <w:numPr>
          <w:ilvl w:val="2"/>
          <w:numId w:val="11"/>
        </w:numPr>
        <w:pBdr>
          <w:top w:val="nil"/>
          <w:left w:val="nil"/>
          <w:bottom w:val="nil"/>
          <w:right w:val="nil"/>
          <w:between w:val="nil"/>
        </w:pBdr>
        <w:suppressAutoHyphens/>
        <w:overflowPunct w:val="0"/>
        <w:autoSpaceDE/>
        <w:autoSpaceDN/>
        <w:spacing w:before="0" w:line="360" w:lineRule="auto"/>
        <w:ind w:left="0" w:firstLine="0"/>
        <w:jc w:val="both"/>
        <w:rPr>
          <w:rFonts w:ascii="Arial" w:hAnsi="Arial" w:cs="Arial"/>
          <w:bCs/>
          <w:iCs/>
        </w:rPr>
      </w:pPr>
      <w:r w:rsidRPr="00B07ADD">
        <w:rPr>
          <w:rFonts w:ascii="Arial" w:hAnsi="Arial" w:cs="Arial"/>
          <w:bCs/>
          <w:iCs/>
        </w:rPr>
        <w:lastRenderedPageBreak/>
        <w:t>O órgão ou entidade poderá convocar representante da empresa para adoção de providências que devam ser cumpridas de imediato.</w:t>
      </w:r>
    </w:p>
    <w:p w14:paraId="5995CF19" w14:textId="7299255A" w:rsidR="00AD30DE" w:rsidRPr="00B07ADD" w:rsidRDefault="00AD30DE" w:rsidP="00B07ADD">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6336D104" w14:textId="2BF507E0" w:rsidR="00AD30DE" w:rsidRPr="00B07ADD" w:rsidRDefault="00AD30DE" w:rsidP="00B07ADD">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8FD659D" w14:textId="569A19FD" w:rsidR="00AD30DE" w:rsidRPr="00B07ADD" w:rsidRDefault="00584594" w:rsidP="00B07ADD">
      <w:pPr>
        <w:pBdr>
          <w:top w:val="nil"/>
          <w:left w:val="nil"/>
          <w:bottom w:val="nil"/>
          <w:right w:val="nil"/>
          <w:between w:val="nil"/>
        </w:pBdr>
        <w:shd w:val="clear" w:color="auto" w:fill="FFFF00"/>
        <w:spacing w:line="360" w:lineRule="auto"/>
        <w:jc w:val="both"/>
        <w:rPr>
          <w:rFonts w:ascii="Arial" w:hAnsi="Arial" w:cs="Arial"/>
          <w:bCs/>
          <w:iCs/>
        </w:rPr>
      </w:pPr>
      <w:r w:rsidRPr="00B07ADD">
        <w:rPr>
          <w:rFonts w:ascii="Arial" w:hAnsi="Arial" w:cs="Arial"/>
          <w:bCs/>
          <w:iCs/>
        </w:rPr>
        <w:t xml:space="preserve">3.2.14 </w:t>
      </w:r>
      <w:r w:rsidR="00AD30DE" w:rsidRPr="00B07ADD">
        <w:rPr>
          <w:rFonts w:ascii="Arial" w:hAnsi="Arial" w:cs="Arial"/>
          <w:bCs/>
          <w:iCs/>
        </w:rPr>
        <w:t>Para o acompanhamento, gestão e fiscalização da execução do presente contrato, serão designandos em momento posterior, antes da execução do objeto, agentes públicos gestor/gestor substituto e fiscal/ fiscal substituto.</w:t>
      </w:r>
    </w:p>
    <w:p w14:paraId="3C3005BD" w14:textId="14D4360E" w:rsidR="00AD30DE" w:rsidRPr="00B07ADD" w:rsidRDefault="00584594" w:rsidP="00B07ADD">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 xml:space="preserve">3.2.15 </w:t>
      </w:r>
      <w:r w:rsidR="00AD30DE" w:rsidRPr="00B07ADD">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1958E500" w14:textId="21E39B64" w:rsidR="00AD30DE" w:rsidRPr="00B07ADD" w:rsidRDefault="00584594" w:rsidP="00B07ADD">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3.2.16</w:t>
      </w:r>
      <w:r w:rsidR="00AD30DE" w:rsidRPr="00B07ADD">
        <w:rPr>
          <w:rFonts w:ascii="Arial" w:hAnsi="Arial" w:cs="Arial"/>
          <w:bCs/>
          <w:iCs/>
        </w:rPr>
        <w:t xml:space="preserve"> O(s) fiscal(is) designado pela Contratante deverá ter a experiência necessária para o acompanhamento e controle da execução dos serviços e do contrato;</w:t>
      </w:r>
    </w:p>
    <w:p w14:paraId="0255F377" w14:textId="29375D56" w:rsidR="00AD30DE" w:rsidRPr="00B07ADD" w:rsidRDefault="00584594" w:rsidP="00B07ADD">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3.2.17</w:t>
      </w:r>
      <w:r w:rsidR="00AD30DE" w:rsidRPr="00B07ADD">
        <w:rPr>
          <w:rFonts w:ascii="Arial" w:hAnsi="Arial" w:cs="Arial"/>
          <w:bCs/>
          <w:iCs/>
        </w:rPr>
        <w:t xml:space="preserve"> A verificação da adequação da prestação do serviço deverá ser realizada com base nos critérios previstos neste Termo de Referência;</w:t>
      </w:r>
    </w:p>
    <w:p w14:paraId="3669D421" w14:textId="116A6D0E" w:rsidR="00AD30DE" w:rsidRPr="00B07ADD" w:rsidRDefault="00584594" w:rsidP="00B07ADD">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3.2.18</w:t>
      </w:r>
      <w:r w:rsidR="00AD30DE" w:rsidRPr="00B07ADD">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704B7459" w14:textId="77777777" w:rsidR="00AD30DE" w:rsidRPr="00AD30DE" w:rsidRDefault="00AD30DE" w:rsidP="00AD30DE">
      <w:pPr>
        <w:pBdr>
          <w:top w:val="nil"/>
          <w:left w:val="nil"/>
          <w:bottom w:val="nil"/>
          <w:right w:val="nil"/>
          <w:between w:val="nil"/>
        </w:pBdr>
        <w:spacing w:line="276" w:lineRule="auto"/>
        <w:jc w:val="both"/>
        <w:rPr>
          <w:rFonts w:ascii="Arial" w:hAnsi="Arial" w:cs="Arial"/>
          <w:bCs/>
          <w:iCs/>
        </w:rPr>
      </w:pPr>
    </w:p>
    <w:p w14:paraId="22193CCF" w14:textId="061360DF" w:rsidR="00C634F1" w:rsidRPr="008C13A3" w:rsidRDefault="00C634F1" w:rsidP="00AD30DE">
      <w:pPr>
        <w:pStyle w:val="PargrafodaLista"/>
        <w:numPr>
          <w:ilvl w:val="0"/>
          <w:numId w:val="11"/>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27173FF5" w:rsidR="00C634F1" w:rsidRPr="00B07ADD" w:rsidRDefault="00C634F1" w:rsidP="00B07ADD">
      <w:pPr>
        <w:pStyle w:val="PargrafodaLista"/>
        <w:widowControl/>
        <w:numPr>
          <w:ilvl w:val="1"/>
          <w:numId w:val="12"/>
        </w:numPr>
        <w:tabs>
          <w:tab w:val="left" w:pos="426"/>
        </w:tabs>
        <w:autoSpaceDE/>
        <w:autoSpaceDN/>
        <w:spacing w:before="120" w:after="120" w:line="276" w:lineRule="auto"/>
        <w:jc w:val="both"/>
        <w:rPr>
          <w:rFonts w:ascii="Arial" w:hAnsi="Arial" w:cs="Arial"/>
          <w:bCs/>
          <w:iCs/>
        </w:rPr>
      </w:pPr>
      <w:r w:rsidRPr="00B07ADD">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B07ADD">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B07ADD" w:rsidRDefault="00147B9F"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B07ADD">
        <w:rPr>
          <w:rFonts w:ascii="Arial" w:hAnsi="Arial" w:cs="Arial"/>
          <w:bCs/>
          <w:iCs/>
        </w:rPr>
        <w:t>O valor total da contratação é de R$.......... (.....)</w:t>
      </w:r>
    </w:p>
    <w:p w14:paraId="19E0CAC1" w14:textId="3066B963" w:rsidR="001D32DF" w:rsidRPr="00B07ADD" w:rsidRDefault="001D32DF"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B07ADD">
        <w:rPr>
          <w:rFonts w:ascii="Arial" w:hAnsi="Arial" w:cs="Arial"/>
          <w:bCs/>
          <w:iCs/>
        </w:rPr>
        <w:t xml:space="preserve">No valor acima estão incluídas todas as despesas ordinárias diretas e indiretas decorrentes da execução contratual, inclusive tributos e/ou impostos, encargos sociais, </w:t>
      </w:r>
      <w:r w:rsidRPr="00B07ADD">
        <w:rPr>
          <w:rFonts w:ascii="Arial" w:hAnsi="Arial" w:cs="Arial"/>
          <w:bCs/>
          <w:iCs/>
        </w:rPr>
        <w:lastRenderedPageBreak/>
        <w:t>trabalhistas, previdenciários, fiscais e comerciais incidentes, taxa de administração, frete, seguro e outros necessários ao cumprimento integral do objeto da contratação.</w:t>
      </w:r>
    </w:p>
    <w:p w14:paraId="6F1CFCBF" w14:textId="69D61111" w:rsidR="00147B9F" w:rsidRPr="00B07ADD" w:rsidRDefault="00147B9F"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B07ADD">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5557A6">
      <w:pPr>
        <w:pStyle w:val="PargrafodaLista"/>
        <w:numPr>
          <w:ilvl w:val="0"/>
          <w:numId w:val="12"/>
        </w:numPr>
        <w:tabs>
          <w:tab w:val="left" w:pos="284"/>
        </w:tabs>
        <w:spacing w:before="0"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794B975A" w14:textId="77777777" w:rsidR="00B07ADD" w:rsidRPr="00B07ADD" w:rsidRDefault="00B07ADD" w:rsidP="005557A6">
      <w:pPr>
        <w:widowControl/>
        <w:numPr>
          <w:ilvl w:val="1"/>
          <w:numId w:val="12"/>
        </w:numPr>
        <w:shd w:val="clear" w:color="auto" w:fill="FFFFFF"/>
        <w:suppressAutoHyphens/>
        <w:overflowPunct w:val="0"/>
        <w:autoSpaceDE/>
        <w:autoSpaceDN/>
        <w:spacing w:line="360" w:lineRule="auto"/>
        <w:ind w:left="0" w:firstLine="0"/>
        <w:jc w:val="both"/>
        <w:rPr>
          <w:rFonts w:ascii="Arial" w:hAnsi="Arial" w:cs="Arial"/>
          <w:bCs/>
          <w:iCs/>
        </w:rPr>
      </w:pPr>
      <w:r w:rsidRPr="00B07ADD">
        <w:rPr>
          <w:rFonts w:ascii="Arial" w:hAnsi="Arial" w:cs="Arial"/>
          <w:bCs/>
          <w:iCs/>
        </w:rPr>
        <w:t xml:space="preserve">A Nota Fiscal deverá ser emitida em nome de: </w:t>
      </w:r>
      <w:r w:rsidRPr="005557A6">
        <w:rPr>
          <w:rFonts w:ascii="Arial" w:hAnsi="Arial" w:cs="Arial"/>
          <w:b/>
          <w:iCs/>
        </w:rPr>
        <w:t>Fundo Municipal de Assistência Social, CNPJ:07.293.841/0001-83, ENDEREÇO: Alameda Eduardo Guinle, 137 – Centro – Cep: 28.625-130</w:t>
      </w:r>
      <w:r w:rsidRPr="00B07ADD">
        <w:rPr>
          <w:rFonts w:ascii="Arial" w:hAnsi="Arial" w:cs="Arial"/>
          <w:bCs/>
          <w:iCs/>
        </w:rPr>
        <w:t>.</w:t>
      </w:r>
    </w:p>
    <w:p w14:paraId="63FA52A7" w14:textId="77777777" w:rsidR="00B07ADD" w:rsidRPr="00B07ADD" w:rsidRDefault="00B07ADD" w:rsidP="005557A6">
      <w:pPr>
        <w:widowControl/>
        <w:numPr>
          <w:ilvl w:val="1"/>
          <w:numId w:val="12"/>
        </w:numPr>
        <w:shd w:val="clear" w:color="auto" w:fill="FFFFFF"/>
        <w:suppressAutoHyphens/>
        <w:overflowPunct w:val="0"/>
        <w:autoSpaceDE/>
        <w:autoSpaceDN/>
        <w:spacing w:line="360" w:lineRule="auto"/>
        <w:ind w:left="0" w:firstLine="0"/>
        <w:jc w:val="both"/>
        <w:rPr>
          <w:rFonts w:ascii="Arial" w:hAnsi="Arial" w:cs="Arial"/>
          <w:bCs/>
          <w:iCs/>
        </w:rPr>
      </w:pPr>
      <w:r w:rsidRPr="00B07ADD">
        <w:rPr>
          <w:rFonts w:ascii="Arial" w:hAnsi="Arial" w:cs="Arial"/>
          <w:bCs/>
          <w:iCs/>
        </w:rPr>
        <w:t>Todos os materiais deverão ser entregues à Secretaria Municipal de Assistência Social, situada em: Alameda Eduardo Guinle, 137 – Centro – Cep: 28.625-130. De seg. a sex. das 09:00h às 17:00h.</w:t>
      </w:r>
    </w:p>
    <w:p w14:paraId="1541AD5B" w14:textId="0A85E105" w:rsidR="00B07ADD" w:rsidRPr="005557A6" w:rsidRDefault="00B07ADD" w:rsidP="005557A6">
      <w:pPr>
        <w:spacing w:line="360" w:lineRule="auto"/>
        <w:jc w:val="both"/>
        <w:rPr>
          <w:rFonts w:ascii="Arial" w:hAnsi="Arial" w:cs="Arial"/>
          <w:bCs/>
          <w:iCs/>
          <w:u w:val="single"/>
        </w:rPr>
      </w:pPr>
      <w:r w:rsidRPr="005557A6">
        <w:rPr>
          <w:rFonts w:ascii="Arial" w:hAnsi="Arial" w:cs="Arial"/>
          <w:bCs/>
          <w:iCs/>
          <w:u w:val="single"/>
        </w:rPr>
        <w:t>6.3  Da liquidação da despesa:</w:t>
      </w:r>
    </w:p>
    <w:p w14:paraId="51332881" w14:textId="77777777" w:rsidR="00071D9B" w:rsidRPr="00071D9B" w:rsidRDefault="00B07ADD" w:rsidP="00071D9B">
      <w:pPr>
        <w:pBdr>
          <w:top w:val="nil"/>
          <w:left w:val="nil"/>
          <w:bottom w:val="nil"/>
          <w:right w:val="nil"/>
          <w:between w:val="nil"/>
        </w:pBdr>
        <w:shd w:val="clear" w:color="auto" w:fill="FFFFFF"/>
        <w:spacing w:line="360" w:lineRule="auto"/>
        <w:jc w:val="both"/>
        <w:rPr>
          <w:rFonts w:ascii="Arial" w:hAnsi="Arial" w:cs="Arial"/>
          <w:bCs/>
          <w:iCs/>
        </w:rPr>
      </w:pPr>
      <w:r w:rsidRPr="00B07ADD">
        <w:rPr>
          <w:rFonts w:ascii="Arial" w:hAnsi="Arial" w:cs="Arial"/>
          <w:bCs/>
          <w:iCs/>
        </w:rPr>
        <w:t xml:space="preserve">6.3.1 </w:t>
      </w:r>
      <w:r w:rsidR="00071D9B" w:rsidRPr="00071D9B">
        <w:rPr>
          <w:rFonts w:ascii="Arial" w:hAnsi="Arial" w:cs="Arial"/>
          <w:bCs/>
          <w:iCs/>
        </w:rPr>
        <w:t>A liquidação será realizada pela Secretaria de Fazenda, a partir do cumprimento das obrigações elencadas neste Termo de Referência, em obediência ao Decreto nº 2493, de 07 de novembro de 2023, https://pmnf.rj.gov.br/paginas-centralizadas/9_64_Legislacoes.html.</w:t>
      </w:r>
    </w:p>
    <w:p w14:paraId="13A449FD" w14:textId="32A5BE1F" w:rsidR="00B07ADD" w:rsidRPr="00B07ADD" w:rsidRDefault="00B07ADD" w:rsidP="005557A6">
      <w:pPr>
        <w:pBdr>
          <w:top w:val="nil"/>
          <w:left w:val="nil"/>
          <w:bottom w:val="nil"/>
          <w:right w:val="nil"/>
          <w:between w:val="nil"/>
        </w:pBdr>
        <w:shd w:val="clear" w:color="auto" w:fill="FFFFFF"/>
        <w:spacing w:line="360" w:lineRule="auto"/>
        <w:jc w:val="both"/>
        <w:rPr>
          <w:rFonts w:ascii="Arial" w:hAnsi="Arial" w:cs="Arial"/>
          <w:bCs/>
          <w:iCs/>
        </w:rPr>
      </w:pPr>
      <w:r w:rsidRPr="00B07ADD">
        <w:rPr>
          <w:rFonts w:ascii="Arial" w:hAnsi="Arial" w:cs="Arial"/>
          <w:bCs/>
          <w:iCs/>
        </w:rPr>
        <w:t>6.3.2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2C2507D9" w14:textId="69BBCC3A" w:rsidR="00B07ADD" w:rsidRPr="005557A6" w:rsidRDefault="00B07ADD" w:rsidP="005557A6">
      <w:pPr>
        <w:spacing w:line="360" w:lineRule="auto"/>
        <w:jc w:val="both"/>
        <w:rPr>
          <w:rFonts w:ascii="Arial" w:hAnsi="Arial" w:cs="Arial"/>
          <w:bCs/>
          <w:iCs/>
          <w:u w:val="single"/>
        </w:rPr>
      </w:pPr>
      <w:r w:rsidRPr="005557A6">
        <w:rPr>
          <w:rFonts w:ascii="Arial" w:hAnsi="Arial" w:cs="Arial"/>
          <w:bCs/>
          <w:iCs/>
          <w:u w:val="single"/>
        </w:rPr>
        <w:t>6.4 Do pagamento da despesa:</w:t>
      </w:r>
    </w:p>
    <w:p w14:paraId="69E835CC" w14:textId="76DE97D0" w:rsidR="00B07ADD" w:rsidRPr="00B07ADD" w:rsidRDefault="00B07ADD" w:rsidP="005557A6">
      <w:pPr>
        <w:pBdr>
          <w:top w:val="nil"/>
          <w:left w:val="nil"/>
          <w:bottom w:val="nil"/>
          <w:right w:val="nil"/>
          <w:between w:val="nil"/>
        </w:pBdr>
        <w:spacing w:line="360" w:lineRule="auto"/>
        <w:jc w:val="both"/>
        <w:rPr>
          <w:rFonts w:ascii="Arial" w:hAnsi="Arial" w:cs="Arial"/>
          <w:bCs/>
          <w:iCs/>
        </w:rPr>
      </w:pPr>
      <w:r w:rsidRPr="00B07ADD">
        <w:rPr>
          <w:rFonts w:ascii="Arial" w:hAnsi="Arial" w:cs="Arial"/>
          <w:bCs/>
          <w:iCs/>
        </w:rPr>
        <w:t>6.4.1 O pagamento será efetuado conforme estabelecido no  Decreto Municipal nº 2493, de 07 de novembro de 2023, desde que as certidões listadas abaixo estejam dentro da validade:</w:t>
      </w:r>
    </w:p>
    <w:p w14:paraId="1778B851" w14:textId="77777777" w:rsidR="00B07ADD" w:rsidRPr="00B07ADD" w:rsidRDefault="00B07ADD" w:rsidP="005557A6">
      <w:pPr>
        <w:spacing w:line="360" w:lineRule="auto"/>
        <w:jc w:val="both"/>
        <w:rPr>
          <w:rFonts w:ascii="Arial" w:hAnsi="Arial" w:cs="Arial"/>
          <w:bCs/>
          <w:iCs/>
        </w:rPr>
      </w:pPr>
      <w:r w:rsidRPr="00B07ADD">
        <w:rPr>
          <w:rFonts w:ascii="Arial" w:hAnsi="Arial" w:cs="Arial"/>
          <w:bCs/>
          <w:iCs/>
        </w:rPr>
        <w:t xml:space="preserve">- Negativa de Débitos Trabalhistas; </w:t>
      </w:r>
    </w:p>
    <w:p w14:paraId="5502FB54" w14:textId="77777777" w:rsidR="00B07ADD" w:rsidRPr="00B07ADD" w:rsidRDefault="00B07ADD" w:rsidP="005557A6">
      <w:pPr>
        <w:spacing w:line="360" w:lineRule="auto"/>
        <w:jc w:val="both"/>
        <w:rPr>
          <w:rFonts w:ascii="Arial" w:hAnsi="Arial" w:cs="Arial"/>
          <w:bCs/>
          <w:iCs/>
        </w:rPr>
      </w:pPr>
      <w:r w:rsidRPr="00B07ADD">
        <w:rPr>
          <w:rFonts w:ascii="Arial" w:hAnsi="Arial" w:cs="Arial"/>
          <w:bCs/>
          <w:iCs/>
        </w:rPr>
        <w:t xml:space="preserve">- Fazenda Federal – abrange as contribuições sociais; </w:t>
      </w:r>
    </w:p>
    <w:p w14:paraId="28A15128" w14:textId="77777777" w:rsidR="00B07ADD" w:rsidRPr="00B07ADD" w:rsidRDefault="00B07ADD" w:rsidP="005557A6">
      <w:pPr>
        <w:spacing w:line="360" w:lineRule="auto"/>
        <w:jc w:val="both"/>
        <w:rPr>
          <w:rFonts w:ascii="Arial" w:hAnsi="Arial" w:cs="Arial"/>
          <w:bCs/>
          <w:iCs/>
        </w:rPr>
      </w:pPr>
      <w:r w:rsidRPr="00B07ADD">
        <w:rPr>
          <w:rFonts w:ascii="Arial" w:hAnsi="Arial" w:cs="Arial"/>
          <w:bCs/>
          <w:iCs/>
        </w:rPr>
        <w:t xml:space="preserve">- FGTS; </w:t>
      </w:r>
    </w:p>
    <w:p w14:paraId="0FF67FC4" w14:textId="77777777" w:rsidR="00B07ADD" w:rsidRPr="00B07ADD" w:rsidRDefault="00B07ADD" w:rsidP="005557A6">
      <w:pPr>
        <w:spacing w:line="360" w:lineRule="auto"/>
        <w:jc w:val="both"/>
        <w:rPr>
          <w:rFonts w:ascii="Arial" w:hAnsi="Arial" w:cs="Arial"/>
          <w:bCs/>
          <w:iCs/>
        </w:rPr>
      </w:pPr>
      <w:r w:rsidRPr="00B07ADD">
        <w:rPr>
          <w:rFonts w:ascii="Arial" w:hAnsi="Arial" w:cs="Arial"/>
          <w:bCs/>
          <w:iCs/>
        </w:rPr>
        <w:t xml:space="preserve">- PGE – referente à Dívida Ativa Estadual; </w:t>
      </w:r>
    </w:p>
    <w:p w14:paraId="2EF79BFC" w14:textId="77777777" w:rsidR="00B07ADD" w:rsidRPr="00B07ADD" w:rsidRDefault="00B07ADD" w:rsidP="005557A6">
      <w:pPr>
        <w:spacing w:line="360" w:lineRule="auto"/>
        <w:jc w:val="both"/>
        <w:rPr>
          <w:rFonts w:ascii="Arial" w:hAnsi="Arial" w:cs="Arial"/>
          <w:bCs/>
          <w:iCs/>
        </w:rPr>
      </w:pPr>
      <w:r w:rsidRPr="00B07ADD">
        <w:rPr>
          <w:rFonts w:ascii="Arial" w:hAnsi="Arial" w:cs="Arial"/>
          <w:bCs/>
          <w:iCs/>
        </w:rPr>
        <w:t xml:space="preserve">- Municipal – referente ao ISS e Dívida Ativa; </w:t>
      </w:r>
    </w:p>
    <w:p w14:paraId="06222039" w14:textId="43E5FDEA" w:rsidR="00B07ADD" w:rsidRPr="00B07ADD" w:rsidRDefault="00B07ADD" w:rsidP="005557A6">
      <w:pPr>
        <w:spacing w:line="360" w:lineRule="auto"/>
        <w:jc w:val="both"/>
        <w:rPr>
          <w:rFonts w:ascii="Arial" w:hAnsi="Arial" w:cs="Arial"/>
          <w:bCs/>
          <w:iCs/>
        </w:rPr>
      </w:pPr>
      <w:r w:rsidRPr="00B07ADD">
        <w:rPr>
          <w:rFonts w:ascii="Arial" w:hAnsi="Arial" w:cs="Arial"/>
          <w:bCs/>
          <w:iCs/>
        </w:rPr>
        <w:t>-Estadual CND – referente ao ICMS.</w:t>
      </w:r>
      <w:r w:rsidRPr="00B07ADD">
        <w:rPr>
          <w:rFonts w:ascii="Arial" w:hAnsi="Arial" w:cs="Arial"/>
          <w:bCs/>
          <w:iCs/>
        </w:rPr>
        <w:br/>
        <w:t xml:space="preserve">6.4.2 A Nota Fiscal  deverá conter a identificação do Banco, número da Agência e da Conta </w:t>
      </w:r>
      <w:r w:rsidRPr="00B07ADD">
        <w:rPr>
          <w:rFonts w:ascii="Arial" w:hAnsi="Arial" w:cs="Arial"/>
          <w:bCs/>
          <w:iCs/>
        </w:rPr>
        <w:lastRenderedPageBreak/>
        <w:t xml:space="preserve">Corrente, para que possibilite o CONTRATANTE efetuar o pagamento do valor devido; </w:t>
      </w:r>
      <w:r w:rsidRPr="00B07ADD">
        <w:rPr>
          <w:rFonts w:ascii="Arial" w:hAnsi="Arial" w:cs="Arial"/>
          <w:bCs/>
          <w:iCs/>
        </w:rPr>
        <w:br/>
        <w:t>6.4.3  Na ocorrência de rejeição da(s) Nota(s) Fiscal (s), motivada por erro ou incorreções, o prazo para pagamento estipulado acima passará a ser contado a partir da data de sua reapresentação.</w:t>
      </w:r>
      <w:r w:rsidRPr="00B07ADD">
        <w:rPr>
          <w:rFonts w:ascii="Arial" w:hAnsi="Arial" w:cs="Arial"/>
          <w:bCs/>
          <w:iCs/>
        </w:rPr>
        <w:br/>
        <w:t>6.4.4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702B5E5" w14:textId="4380F764" w:rsidR="00B07ADD" w:rsidRPr="008C13A3" w:rsidRDefault="00B07ADD" w:rsidP="005557A6">
      <w:pPr>
        <w:pStyle w:val="PargrafodaLista"/>
        <w:tabs>
          <w:tab w:val="left" w:pos="284"/>
        </w:tabs>
        <w:spacing w:before="0" w:line="360" w:lineRule="auto"/>
        <w:ind w:left="0"/>
        <w:jc w:val="both"/>
        <w:rPr>
          <w:rFonts w:ascii="Arial" w:eastAsiaTheme="majorEastAsia" w:hAnsi="Arial" w:cs="Arial"/>
          <w:b/>
          <w:bCs/>
          <w:lang w:val="pt-BR" w:eastAsia="pt-BR"/>
        </w:rPr>
      </w:pPr>
      <w:r w:rsidRPr="00B07ADD">
        <w:rPr>
          <w:rFonts w:ascii="Arial" w:hAnsi="Arial" w:cs="Arial"/>
          <w:bCs/>
          <w:iCs/>
        </w:rPr>
        <w:t>6.4.5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r>
        <w:rPr>
          <w:rFonts w:ascii="Calibri" w:eastAsia="Calibri" w:hAnsi="Calibri" w:cs="Calibri"/>
          <w:i/>
        </w:rPr>
        <w:br/>
      </w:r>
    </w:p>
    <w:p w14:paraId="3597BA5A" w14:textId="77777777" w:rsidR="0097688D" w:rsidRPr="005557A6" w:rsidRDefault="0097688D" w:rsidP="00B07ADD">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5557A6">
        <w:rPr>
          <w:rFonts w:ascii="Arial" w:eastAsiaTheme="majorEastAsia" w:hAnsi="Arial" w:cs="Arial"/>
          <w:b/>
          <w:bCs/>
          <w:lang w:val="pt-BR" w:eastAsia="pt-BR"/>
        </w:rPr>
        <w:t>CLÁUSULA SÉTIMA - REAJUSTE (art. 92, V)</w:t>
      </w:r>
    </w:p>
    <w:p w14:paraId="6348F2F6" w14:textId="77777777" w:rsidR="0097688D" w:rsidRPr="005557A6" w:rsidRDefault="0097688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5557A6">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5557A6">
        <w:rPr>
          <w:rFonts w:ascii="Arial" w:hAnsi="Arial" w:cs="Arial"/>
          <w:bCs/>
          <w:iCs/>
        </w:rPr>
        <w:t xml:space="preserve">Após o interregno de um ano, e independentemente de pedido do contratado, os preços iniciais serão reajustados, mediante a aplicação, pelo contratante, </w:t>
      </w:r>
      <w:r w:rsidRPr="005557A6">
        <w:rPr>
          <w:rFonts w:ascii="Arial" w:hAnsi="Arial" w:cs="Arial"/>
          <w:bCs/>
          <w:iCs/>
          <w:lang w:val="pt-BR"/>
        </w:rPr>
        <w:t xml:space="preserve">do Índice Nacional de Preços ao Consumidor Amplo (IPCA), instituído pelo Instituto </w:t>
      </w:r>
      <w:r w:rsidRPr="008C13A3">
        <w:rPr>
          <w:rFonts w:ascii="Arial" w:hAnsi="Arial" w:cs="Arial"/>
          <w:bCs/>
          <w:iCs/>
          <w:lang w:val="pt-BR"/>
        </w:rPr>
        <w:t>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24576018" w14:textId="599F0611" w:rsidR="00A27B94" w:rsidRPr="008C13A3" w:rsidRDefault="00A27B94" w:rsidP="00B07ADD">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5557A6"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w:t>
      </w:r>
      <w:r w:rsidRPr="005557A6">
        <w:rPr>
          <w:rFonts w:ascii="Arial" w:hAnsi="Arial" w:cs="Arial"/>
          <w:bCs/>
          <w:iCs/>
          <w:lang w:val="pt-BR"/>
        </w:rPr>
        <w:t xml:space="preserve">prazo de </w:t>
      </w:r>
      <w:r w:rsidRPr="005557A6">
        <w:rPr>
          <w:rFonts w:ascii="Arial" w:hAnsi="Arial" w:cs="Arial"/>
          <w:bCs/>
          <w:iCs/>
        </w:rPr>
        <w:t>1 (um) mês</w:t>
      </w:r>
      <w:r w:rsidRPr="005557A6">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5557A6"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5557A6">
        <w:rPr>
          <w:rFonts w:ascii="Arial" w:hAnsi="Arial" w:cs="Arial"/>
          <w:bCs/>
          <w:iCs/>
          <w:lang w:val="pt-BR"/>
        </w:rPr>
        <w:t xml:space="preserve">Responder eventuais pedidos de reestabelecimento do equilíbrio econômico-financeiro feitos pelo contratado no prazo máximo de </w:t>
      </w:r>
      <w:r w:rsidRPr="005557A6">
        <w:rPr>
          <w:rFonts w:ascii="Arial" w:hAnsi="Arial" w:cs="Arial"/>
          <w:bCs/>
          <w:iCs/>
        </w:rPr>
        <w:t>1 (um) mês</w:t>
      </w:r>
      <w:r w:rsidRPr="005557A6">
        <w:rPr>
          <w:rFonts w:ascii="Arial" w:hAnsi="Arial" w:cs="Arial"/>
          <w:bCs/>
          <w:iCs/>
          <w:lang w:val="pt-BR"/>
        </w:rPr>
        <w:t>.</w:t>
      </w:r>
    </w:p>
    <w:p w14:paraId="5080FE7D" w14:textId="77777777" w:rsidR="00A27B94" w:rsidRPr="008C13A3" w:rsidRDefault="00A27B94"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B07ADD">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B07ADD">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B07ADD">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B07ADD">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B07ADD">
      <w:pPr>
        <w:pStyle w:val="Nivel2"/>
        <w:numPr>
          <w:ilvl w:val="1"/>
          <w:numId w:val="1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B07ADD">
      <w:pPr>
        <w:pStyle w:val="Nivel2"/>
        <w:numPr>
          <w:ilvl w:val="1"/>
          <w:numId w:val="12"/>
        </w:numPr>
        <w:rPr>
          <w:sz w:val="22"/>
          <w:szCs w:val="22"/>
        </w:rPr>
      </w:pPr>
      <w:r w:rsidRPr="008C13A3">
        <w:rPr>
          <w:sz w:val="22"/>
          <w:szCs w:val="22"/>
        </w:rPr>
        <w:lastRenderedPageBreak/>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B07ADD">
      <w:pPr>
        <w:pStyle w:val="Nivel2"/>
        <w:numPr>
          <w:ilvl w:val="1"/>
          <w:numId w:val="1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B07ADD">
      <w:pPr>
        <w:pStyle w:val="Nivel2"/>
        <w:numPr>
          <w:ilvl w:val="1"/>
          <w:numId w:val="1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43EBA5E3" w:rsidR="004A20F0" w:rsidRPr="008C13A3" w:rsidRDefault="004A20F0" w:rsidP="00B07ADD">
      <w:pPr>
        <w:pStyle w:val="Nivel2"/>
        <w:numPr>
          <w:ilvl w:val="1"/>
          <w:numId w:val="1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B07ADD">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B07ADD">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B07ADD">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B07ADD">
      <w:pPr>
        <w:pStyle w:val="PargrafodaLista"/>
        <w:widowControl/>
        <w:numPr>
          <w:ilvl w:val="1"/>
          <w:numId w:val="1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B07ADD">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B07ADD">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B07ADD">
      <w:pPr>
        <w:pStyle w:val="PargrafodaLista"/>
        <w:widowControl/>
        <w:numPr>
          <w:ilvl w:val="3"/>
          <w:numId w:val="1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B07ADD">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B07ADD">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B07ADD">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D040E33" w:rsidR="002E43FD" w:rsidRDefault="002E43FD" w:rsidP="00B07ADD">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AE65D42" w14:textId="02FF41D3" w:rsidR="005557A6" w:rsidRPr="005557A6" w:rsidRDefault="005557A6" w:rsidP="005557A6">
      <w:pPr>
        <w:pStyle w:val="PargrafodaLista"/>
        <w:numPr>
          <w:ilvl w:val="1"/>
          <w:numId w:val="12"/>
        </w:numPr>
        <w:pBdr>
          <w:top w:val="nil"/>
          <w:left w:val="nil"/>
          <w:bottom w:val="nil"/>
          <w:right w:val="nil"/>
          <w:between w:val="nil"/>
        </w:pBdr>
        <w:spacing w:line="276" w:lineRule="auto"/>
        <w:ind w:left="0" w:firstLine="0"/>
        <w:jc w:val="both"/>
        <w:rPr>
          <w:rFonts w:ascii="Arial" w:hAnsi="Arial" w:cs="Arial"/>
        </w:rPr>
      </w:pPr>
      <w:r w:rsidRPr="005557A6">
        <w:rPr>
          <w:rFonts w:ascii="Arial" w:hAnsi="Arial" w:cs="Arial"/>
        </w:rPr>
        <w:t>As despesas decorrentes da presente contratação correrão à conta de recursos específicos consignados no Orçamento do Município, na forma abaixo:</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3"/>
        <w:gridCol w:w="2375"/>
        <w:gridCol w:w="2263"/>
        <w:gridCol w:w="1843"/>
      </w:tblGrid>
      <w:tr w:rsidR="005557A6" w:rsidRPr="005557A6" w14:paraId="11AB4B83" w14:textId="77777777" w:rsidTr="005557A6">
        <w:trPr>
          <w:trHeight w:val="513"/>
        </w:trPr>
        <w:tc>
          <w:tcPr>
            <w:tcW w:w="2733" w:type="dxa"/>
            <w:shd w:val="clear" w:color="auto" w:fill="auto"/>
            <w:tcMar>
              <w:left w:w="48" w:type="dxa"/>
            </w:tcMar>
          </w:tcPr>
          <w:p w14:paraId="029478F5" w14:textId="77777777" w:rsidR="005557A6" w:rsidRPr="005557A6" w:rsidRDefault="005557A6" w:rsidP="00A35E94">
            <w:pPr>
              <w:pBdr>
                <w:top w:val="nil"/>
                <w:left w:val="nil"/>
                <w:bottom w:val="nil"/>
                <w:right w:val="nil"/>
                <w:between w:val="nil"/>
              </w:pBdr>
              <w:spacing w:line="276" w:lineRule="auto"/>
              <w:jc w:val="center"/>
              <w:rPr>
                <w:rFonts w:ascii="Arial" w:hAnsi="Arial" w:cs="Arial"/>
              </w:rPr>
            </w:pPr>
            <w:r w:rsidRPr="005557A6">
              <w:rPr>
                <w:rFonts w:ascii="Arial" w:hAnsi="Arial" w:cs="Arial"/>
              </w:rPr>
              <w:lastRenderedPageBreak/>
              <w:t>Órgão/Unidade Orçamentária</w:t>
            </w:r>
          </w:p>
        </w:tc>
        <w:tc>
          <w:tcPr>
            <w:tcW w:w="2375" w:type="dxa"/>
            <w:shd w:val="clear" w:color="auto" w:fill="auto"/>
            <w:tcMar>
              <w:left w:w="48" w:type="dxa"/>
            </w:tcMar>
          </w:tcPr>
          <w:p w14:paraId="14F10987" w14:textId="77777777" w:rsidR="005557A6" w:rsidRPr="005557A6" w:rsidRDefault="005557A6" w:rsidP="00A35E94">
            <w:pPr>
              <w:pBdr>
                <w:top w:val="nil"/>
                <w:left w:val="nil"/>
                <w:bottom w:val="nil"/>
                <w:right w:val="nil"/>
                <w:between w:val="nil"/>
              </w:pBdr>
              <w:spacing w:line="276" w:lineRule="auto"/>
              <w:jc w:val="center"/>
              <w:rPr>
                <w:rFonts w:ascii="Arial" w:hAnsi="Arial" w:cs="Arial"/>
              </w:rPr>
            </w:pPr>
            <w:r w:rsidRPr="005557A6">
              <w:rPr>
                <w:rFonts w:ascii="Arial" w:hAnsi="Arial" w:cs="Arial"/>
              </w:rPr>
              <w:t>Programa de Trabalho</w:t>
            </w:r>
          </w:p>
        </w:tc>
        <w:tc>
          <w:tcPr>
            <w:tcW w:w="2263" w:type="dxa"/>
            <w:shd w:val="clear" w:color="auto" w:fill="auto"/>
            <w:tcMar>
              <w:left w:w="48" w:type="dxa"/>
            </w:tcMar>
          </w:tcPr>
          <w:p w14:paraId="7E072E33" w14:textId="77777777" w:rsidR="005557A6" w:rsidRPr="005557A6" w:rsidRDefault="005557A6" w:rsidP="00A35E94">
            <w:pPr>
              <w:pBdr>
                <w:top w:val="nil"/>
                <w:left w:val="nil"/>
                <w:bottom w:val="nil"/>
                <w:right w:val="nil"/>
                <w:between w:val="nil"/>
              </w:pBdr>
              <w:spacing w:line="276" w:lineRule="auto"/>
              <w:jc w:val="center"/>
              <w:rPr>
                <w:rFonts w:ascii="Arial" w:hAnsi="Arial" w:cs="Arial"/>
              </w:rPr>
            </w:pPr>
            <w:r w:rsidRPr="005557A6">
              <w:rPr>
                <w:rFonts w:ascii="Arial" w:hAnsi="Arial" w:cs="Arial"/>
              </w:rPr>
              <w:t>Fonte de Recursos</w:t>
            </w:r>
          </w:p>
        </w:tc>
        <w:tc>
          <w:tcPr>
            <w:tcW w:w="1843" w:type="dxa"/>
            <w:shd w:val="clear" w:color="auto" w:fill="auto"/>
            <w:tcMar>
              <w:left w:w="48" w:type="dxa"/>
            </w:tcMar>
          </w:tcPr>
          <w:p w14:paraId="7484472C" w14:textId="77777777" w:rsidR="005557A6" w:rsidRPr="005557A6" w:rsidRDefault="005557A6" w:rsidP="00A35E94">
            <w:pPr>
              <w:pBdr>
                <w:top w:val="nil"/>
                <w:left w:val="nil"/>
                <w:bottom w:val="nil"/>
                <w:right w:val="nil"/>
                <w:between w:val="nil"/>
              </w:pBdr>
              <w:spacing w:line="276" w:lineRule="auto"/>
              <w:jc w:val="center"/>
              <w:rPr>
                <w:rFonts w:ascii="Arial" w:hAnsi="Arial" w:cs="Arial"/>
              </w:rPr>
            </w:pPr>
            <w:r w:rsidRPr="005557A6">
              <w:rPr>
                <w:rFonts w:ascii="Arial" w:hAnsi="Arial" w:cs="Arial"/>
              </w:rPr>
              <w:t>Natureza da Despesa</w:t>
            </w:r>
          </w:p>
        </w:tc>
      </w:tr>
      <w:tr w:rsidR="005557A6" w:rsidRPr="005557A6" w14:paraId="35711D4F" w14:textId="77777777" w:rsidTr="005557A6">
        <w:tc>
          <w:tcPr>
            <w:tcW w:w="2733" w:type="dxa"/>
            <w:shd w:val="clear" w:color="auto" w:fill="auto"/>
            <w:tcMar>
              <w:left w:w="48" w:type="dxa"/>
            </w:tcMar>
          </w:tcPr>
          <w:p w14:paraId="737CA30C"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Gestão</w:t>
            </w:r>
            <w:r w:rsidRPr="005557A6">
              <w:rPr>
                <w:rFonts w:ascii="Arial" w:hAnsi="Arial" w:cs="Arial"/>
              </w:rPr>
              <w:br/>
            </w:r>
          </w:p>
        </w:tc>
        <w:tc>
          <w:tcPr>
            <w:tcW w:w="2375" w:type="dxa"/>
            <w:shd w:val="clear" w:color="auto" w:fill="auto"/>
            <w:tcMar>
              <w:left w:w="48" w:type="dxa"/>
            </w:tcMar>
          </w:tcPr>
          <w:p w14:paraId="0F8807FC"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36.001.041220001.2.002</w:t>
            </w:r>
          </w:p>
        </w:tc>
        <w:tc>
          <w:tcPr>
            <w:tcW w:w="2263" w:type="dxa"/>
            <w:shd w:val="clear" w:color="auto" w:fill="auto"/>
            <w:tcMar>
              <w:left w:w="48" w:type="dxa"/>
            </w:tcMar>
          </w:tcPr>
          <w:p w14:paraId="70A71580" w14:textId="77777777" w:rsidR="005557A6" w:rsidRPr="005557A6" w:rsidRDefault="005557A6" w:rsidP="00A35E94">
            <w:pPr>
              <w:pBdr>
                <w:top w:val="nil"/>
                <w:left w:val="nil"/>
                <w:bottom w:val="nil"/>
                <w:right w:val="nil"/>
                <w:between w:val="nil"/>
              </w:pBdr>
              <w:spacing w:line="276" w:lineRule="auto"/>
              <w:ind w:left="720"/>
              <w:rPr>
                <w:rFonts w:ascii="Arial" w:hAnsi="Arial" w:cs="Arial"/>
              </w:rPr>
            </w:pPr>
            <w:r w:rsidRPr="005557A6">
              <w:rPr>
                <w:rFonts w:ascii="Arial" w:hAnsi="Arial" w:cs="Arial"/>
              </w:rPr>
              <w:t>1660</w:t>
            </w:r>
          </w:p>
        </w:tc>
        <w:tc>
          <w:tcPr>
            <w:tcW w:w="1843" w:type="dxa"/>
            <w:shd w:val="clear" w:color="auto" w:fill="auto"/>
            <w:tcMar>
              <w:left w:w="48" w:type="dxa"/>
            </w:tcMar>
          </w:tcPr>
          <w:p w14:paraId="54F0D03A"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r w:rsidR="005557A6" w:rsidRPr="005557A6" w14:paraId="66FB57B7" w14:textId="77777777" w:rsidTr="005557A6">
        <w:tc>
          <w:tcPr>
            <w:tcW w:w="2733" w:type="dxa"/>
            <w:tcBorders>
              <w:top w:val="nil"/>
            </w:tcBorders>
            <w:shd w:val="clear" w:color="auto" w:fill="auto"/>
            <w:tcMar>
              <w:left w:w="48" w:type="dxa"/>
            </w:tcMar>
          </w:tcPr>
          <w:p w14:paraId="4F7E2A2D"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Gerência de Proteção Básica (CRAS)</w:t>
            </w:r>
            <w:r w:rsidRPr="005557A6">
              <w:rPr>
                <w:rFonts w:ascii="Arial" w:hAnsi="Arial" w:cs="Arial"/>
              </w:rPr>
              <w:br/>
            </w:r>
          </w:p>
        </w:tc>
        <w:tc>
          <w:tcPr>
            <w:tcW w:w="2375" w:type="dxa"/>
            <w:tcBorders>
              <w:top w:val="nil"/>
            </w:tcBorders>
            <w:shd w:val="clear" w:color="auto" w:fill="auto"/>
            <w:tcMar>
              <w:left w:w="48" w:type="dxa"/>
            </w:tcMar>
          </w:tcPr>
          <w:p w14:paraId="3624EF51"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36.001.082440097.2.232</w:t>
            </w:r>
          </w:p>
        </w:tc>
        <w:tc>
          <w:tcPr>
            <w:tcW w:w="2263" w:type="dxa"/>
            <w:tcBorders>
              <w:top w:val="nil"/>
            </w:tcBorders>
            <w:shd w:val="clear" w:color="auto" w:fill="auto"/>
            <w:tcMar>
              <w:left w:w="48" w:type="dxa"/>
            </w:tcMar>
          </w:tcPr>
          <w:p w14:paraId="41FDD0A4" w14:textId="77777777" w:rsidR="005557A6" w:rsidRPr="005557A6" w:rsidRDefault="005557A6" w:rsidP="00A35E94">
            <w:pPr>
              <w:pBdr>
                <w:top w:val="nil"/>
                <w:left w:val="nil"/>
                <w:bottom w:val="nil"/>
                <w:right w:val="nil"/>
                <w:between w:val="nil"/>
              </w:pBdr>
              <w:spacing w:line="276" w:lineRule="auto"/>
              <w:ind w:left="720"/>
              <w:rPr>
                <w:rFonts w:ascii="Arial" w:hAnsi="Arial" w:cs="Arial"/>
              </w:rPr>
            </w:pPr>
            <w:r w:rsidRPr="005557A6">
              <w:rPr>
                <w:rFonts w:ascii="Arial" w:hAnsi="Arial" w:cs="Arial"/>
              </w:rPr>
              <w:t>1660</w:t>
            </w:r>
          </w:p>
        </w:tc>
        <w:tc>
          <w:tcPr>
            <w:tcW w:w="1843" w:type="dxa"/>
            <w:tcBorders>
              <w:top w:val="nil"/>
            </w:tcBorders>
            <w:shd w:val="clear" w:color="auto" w:fill="auto"/>
            <w:tcMar>
              <w:left w:w="48" w:type="dxa"/>
            </w:tcMar>
          </w:tcPr>
          <w:p w14:paraId="4139F1BB"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r w:rsidR="005557A6" w:rsidRPr="005557A6" w14:paraId="14559F9A" w14:textId="77777777" w:rsidTr="005557A6">
        <w:tc>
          <w:tcPr>
            <w:tcW w:w="2733" w:type="dxa"/>
            <w:tcBorders>
              <w:top w:val="nil"/>
            </w:tcBorders>
            <w:shd w:val="clear" w:color="auto" w:fill="auto"/>
            <w:tcMar>
              <w:left w:w="48" w:type="dxa"/>
            </w:tcMar>
          </w:tcPr>
          <w:p w14:paraId="5360FDF1"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Gerência de Proteção Básica</w:t>
            </w:r>
            <w:r w:rsidRPr="005557A6">
              <w:rPr>
                <w:rFonts w:ascii="Arial" w:hAnsi="Arial" w:cs="Arial"/>
              </w:rPr>
              <w:br/>
              <w:t>(C. Convivência)</w:t>
            </w:r>
            <w:r w:rsidRPr="005557A6">
              <w:rPr>
                <w:rFonts w:ascii="Arial" w:hAnsi="Arial" w:cs="Arial"/>
              </w:rPr>
              <w:br/>
            </w:r>
          </w:p>
        </w:tc>
        <w:tc>
          <w:tcPr>
            <w:tcW w:w="2375" w:type="dxa"/>
            <w:tcBorders>
              <w:top w:val="nil"/>
            </w:tcBorders>
            <w:shd w:val="clear" w:color="auto" w:fill="auto"/>
            <w:tcMar>
              <w:left w:w="48" w:type="dxa"/>
            </w:tcMar>
          </w:tcPr>
          <w:p w14:paraId="4AFAE70F"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36.001.082.440093.2.231</w:t>
            </w:r>
          </w:p>
        </w:tc>
        <w:tc>
          <w:tcPr>
            <w:tcW w:w="2263" w:type="dxa"/>
            <w:tcBorders>
              <w:top w:val="nil"/>
            </w:tcBorders>
            <w:shd w:val="clear" w:color="auto" w:fill="auto"/>
            <w:tcMar>
              <w:left w:w="48" w:type="dxa"/>
            </w:tcMar>
          </w:tcPr>
          <w:p w14:paraId="167F027E" w14:textId="77777777" w:rsidR="005557A6" w:rsidRPr="005557A6" w:rsidRDefault="005557A6" w:rsidP="00A35E94">
            <w:pPr>
              <w:pBdr>
                <w:top w:val="nil"/>
                <w:left w:val="nil"/>
                <w:bottom w:val="nil"/>
                <w:right w:val="nil"/>
                <w:between w:val="nil"/>
              </w:pBdr>
              <w:spacing w:line="276" w:lineRule="auto"/>
              <w:ind w:left="720"/>
              <w:rPr>
                <w:rFonts w:ascii="Arial" w:hAnsi="Arial" w:cs="Arial"/>
              </w:rPr>
            </w:pPr>
            <w:r w:rsidRPr="005557A6">
              <w:rPr>
                <w:rFonts w:ascii="Arial" w:hAnsi="Arial" w:cs="Arial"/>
              </w:rPr>
              <w:t>1661</w:t>
            </w:r>
          </w:p>
        </w:tc>
        <w:tc>
          <w:tcPr>
            <w:tcW w:w="1843" w:type="dxa"/>
            <w:tcBorders>
              <w:top w:val="nil"/>
            </w:tcBorders>
            <w:shd w:val="clear" w:color="auto" w:fill="auto"/>
            <w:tcMar>
              <w:left w:w="48" w:type="dxa"/>
            </w:tcMar>
          </w:tcPr>
          <w:p w14:paraId="218F5FA9"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r w:rsidR="005557A6" w:rsidRPr="005557A6" w14:paraId="5A362752" w14:textId="77777777" w:rsidTr="005557A6">
        <w:tc>
          <w:tcPr>
            <w:tcW w:w="2733" w:type="dxa"/>
            <w:tcBorders>
              <w:top w:val="nil"/>
            </w:tcBorders>
            <w:shd w:val="clear" w:color="auto" w:fill="auto"/>
            <w:tcMar>
              <w:left w:w="48" w:type="dxa"/>
            </w:tcMar>
          </w:tcPr>
          <w:p w14:paraId="33D89C2E"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Gerência de Proteção Especial</w:t>
            </w:r>
            <w:r w:rsidRPr="005557A6">
              <w:rPr>
                <w:rFonts w:ascii="Arial" w:hAnsi="Arial" w:cs="Arial"/>
              </w:rPr>
              <w:br/>
              <w:t>(C. Tutelares I - II)</w:t>
            </w:r>
            <w:r w:rsidRPr="005557A6">
              <w:rPr>
                <w:rFonts w:ascii="Arial" w:hAnsi="Arial" w:cs="Arial"/>
              </w:rPr>
              <w:br/>
            </w:r>
          </w:p>
        </w:tc>
        <w:tc>
          <w:tcPr>
            <w:tcW w:w="2375" w:type="dxa"/>
            <w:tcBorders>
              <w:top w:val="nil"/>
            </w:tcBorders>
            <w:shd w:val="clear" w:color="auto" w:fill="auto"/>
            <w:tcMar>
              <w:left w:w="48" w:type="dxa"/>
            </w:tcMar>
          </w:tcPr>
          <w:p w14:paraId="17EC6442"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36.001.081.220.001.2.051</w:t>
            </w:r>
          </w:p>
        </w:tc>
        <w:tc>
          <w:tcPr>
            <w:tcW w:w="2263" w:type="dxa"/>
            <w:tcBorders>
              <w:top w:val="nil"/>
            </w:tcBorders>
            <w:shd w:val="clear" w:color="auto" w:fill="auto"/>
            <w:tcMar>
              <w:left w:w="48" w:type="dxa"/>
            </w:tcMar>
          </w:tcPr>
          <w:p w14:paraId="62CEFFC2" w14:textId="77777777" w:rsidR="005557A6" w:rsidRPr="005557A6" w:rsidRDefault="005557A6" w:rsidP="00A35E94">
            <w:pPr>
              <w:pBdr>
                <w:top w:val="nil"/>
                <w:left w:val="nil"/>
                <w:bottom w:val="nil"/>
                <w:right w:val="nil"/>
                <w:between w:val="nil"/>
              </w:pBdr>
              <w:spacing w:line="276" w:lineRule="auto"/>
              <w:ind w:left="720"/>
              <w:rPr>
                <w:rFonts w:ascii="Arial" w:hAnsi="Arial" w:cs="Arial"/>
              </w:rPr>
            </w:pPr>
            <w:r w:rsidRPr="005557A6">
              <w:rPr>
                <w:rFonts w:ascii="Arial" w:hAnsi="Arial" w:cs="Arial"/>
              </w:rPr>
              <w:t>1500</w:t>
            </w:r>
          </w:p>
        </w:tc>
        <w:tc>
          <w:tcPr>
            <w:tcW w:w="1843" w:type="dxa"/>
            <w:tcBorders>
              <w:top w:val="nil"/>
            </w:tcBorders>
            <w:shd w:val="clear" w:color="auto" w:fill="auto"/>
            <w:tcMar>
              <w:left w:w="48" w:type="dxa"/>
            </w:tcMar>
          </w:tcPr>
          <w:p w14:paraId="3A368FC4"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r w:rsidR="005557A6" w:rsidRPr="005557A6" w14:paraId="132A5816" w14:textId="77777777" w:rsidTr="005557A6">
        <w:tc>
          <w:tcPr>
            <w:tcW w:w="2733" w:type="dxa"/>
            <w:tcBorders>
              <w:top w:val="nil"/>
            </w:tcBorders>
            <w:shd w:val="clear" w:color="auto" w:fill="auto"/>
            <w:tcMar>
              <w:left w:w="48" w:type="dxa"/>
            </w:tcMar>
          </w:tcPr>
          <w:p w14:paraId="6A8F5BD0"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Gerência de Proteção Especial (Caivs)</w:t>
            </w:r>
            <w:r w:rsidRPr="005557A6">
              <w:rPr>
                <w:rFonts w:ascii="Arial" w:hAnsi="Arial" w:cs="Arial"/>
              </w:rPr>
              <w:br/>
            </w:r>
          </w:p>
        </w:tc>
        <w:tc>
          <w:tcPr>
            <w:tcW w:w="2375" w:type="dxa"/>
            <w:tcBorders>
              <w:top w:val="nil"/>
            </w:tcBorders>
            <w:shd w:val="clear" w:color="auto" w:fill="auto"/>
            <w:tcMar>
              <w:left w:w="48" w:type="dxa"/>
            </w:tcMar>
          </w:tcPr>
          <w:p w14:paraId="18C23167"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36.001.082.440094.2.238</w:t>
            </w:r>
          </w:p>
        </w:tc>
        <w:tc>
          <w:tcPr>
            <w:tcW w:w="2263" w:type="dxa"/>
            <w:tcBorders>
              <w:top w:val="nil"/>
            </w:tcBorders>
            <w:shd w:val="clear" w:color="auto" w:fill="auto"/>
            <w:tcMar>
              <w:left w:w="48" w:type="dxa"/>
            </w:tcMar>
          </w:tcPr>
          <w:p w14:paraId="6CEDF30A" w14:textId="77777777" w:rsidR="005557A6" w:rsidRPr="005557A6" w:rsidRDefault="005557A6" w:rsidP="00A35E94">
            <w:pPr>
              <w:pBdr>
                <w:top w:val="nil"/>
                <w:left w:val="nil"/>
                <w:bottom w:val="nil"/>
                <w:right w:val="nil"/>
                <w:between w:val="nil"/>
              </w:pBdr>
              <w:spacing w:line="276" w:lineRule="auto"/>
              <w:ind w:left="720"/>
              <w:rPr>
                <w:rFonts w:ascii="Arial" w:hAnsi="Arial" w:cs="Arial"/>
              </w:rPr>
            </w:pPr>
            <w:r w:rsidRPr="005557A6">
              <w:rPr>
                <w:rFonts w:ascii="Arial" w:hAnsi="Arial" w:cs="Arial"/>
              </w:rPr>
              <w:t>1660</w:t>
            </w:r>
          </w:p>
        </w:tc>
        <w:tc>
          <w:tcPr>
            <w:tcW w:w="1843" w:type="dxa"/>
            <w:tcBorders>
              <w:top w:val="nil"/>
            </w:tcBorders>
            <w:shd w:val="clear" w:color="auto" w:fill="auto"/>
            <w:tcMar>
              <w:left w:w="48" w:type="dxa"/>
            </w:tcMar>
          </w:tcPr>
          <w:p w14:paraId="7F91B06E"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r w:rsidR="005557A6" w:rsidRPr="005557A6" w14:paraId="2D2FBC55" w14:textId="77777777" w:rsidTr="005557A6">
        <w:tc>
          <w:tcPr>
            <w:tcW w:w="2733" w:type="dxa"/>
            <w:tcBorders>
              <w:top w:val="nil"/>
            </w:tcBorders>
            <w:shd w:val="clear" w:color="auto" w:fill="auto"/>
            <w:tcMar>
              <w:left w:w="48" w:type="dxa"/>
            </w:tcMar>
          </w:tcPr>
          <w:p w14:paraId="5A81FBAA"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Gerência de Proteção Especial (Crem)</w:t>
            </w:r>
            <w:r w:rsidRPr="005557A6">
              <w:rPr>
                <w:rFonts w:ascii="Arial" w:hAnsi="Arial" w:cs="Arial"/>
              </w:rPr>
              <w:br/>
            </w:r>
          </w:p>
        </w:tc>
        <w:tc>
          <w:tcPr>
            <w:tcW w:w="2375" w:type="dxa"/>
            <w:tcBorders>
              <w:top w:val="nil"/>
            </w:tcBorders>
            <w:shd w:val="clear" w:color="auto" w:fill="auto"/>
            <w:tcMar>
              <w:left w:w="48" w:type="dxa"/>
            </w:tcMar>
          </w:tcPr>
          <w:p w14:paraId="47A08106"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11.001.082440020.2.054</w:t>
            </w:r>
          </w:p>
        </w:tc>
        <w:tc>
          <w:tcPr>
            <w:tcW w:w="2263" w:type="dxa"/>
            <w:tcBorders>
              <w:top w:val="nil"/>
            </w:tcBorders>
            <w:shd w:val="clear" w:color="auto" w:fill="auto"/>
            <w:tcMar>
              <w:left w:w="48" w:type="dxa"/>
            </w:tcMar>
          </w:tcPr>
          <w:p w14:paraId="73829BF8" w14:textId="77777777" w:rsidR="005557A6" w:rsidRPr="005557A6" w:rsidRDefault="005557A6" w:rsidP="00A35E94">
            <w:pPr>
              <w:pBdr>
                <w:top w:val="nil"/>
                <w:left w:val="nil"/>
                <w:bottom w:val="nil"/>
                <w:right w:val="nil"/>
                <w:between w:val="nil"/>
              </w:pBdr>
              <w:spacing w:line="276" w:lineRule="auto"/>
              <w:ind w:left="720"/>
              <w:rPr>
                <w:rFonts w:ascii="Arial" w:hAnsi="Arial" w:cs="Arial"/>
              </w:rPr>
            </w:pPr>
            <w:r w:rsidRPr="005557A6">
              <w:rPr>
                <w:rFonts w:ascii="Arial" w:hAnsi="Arial" w:cs="Arial"/>
              </w:rPr>
              <w:t>1501</w:t>
            </w:r>
          </w:p>
        </w:tc>
        <w:tc>
          <w:tcPr>
            <w:tcW w:w="1843" w:type="dxa"/>
            <w:tcBorders>
              <w:top w:val="nil"/>
            </w:tcBorders>
            <w:shd w:val="clear" w:color="auto" w:fill="auto"/>
            <w:tcMar>
              <w:left w:w="48" w:type="dxa"/>
            </w:tcMar>
          </w:tcPr>
          <w:p w14:paraId="74A65C4C"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r w:rsidR="005557A6" w:rsidRPr="005557A6" w14:paraId="5D60FC43" w14:textId="77777777" w:rsidTr="005557A6">
        <w:tc>
          <w:tcPr>
            <w:tcW w:w="2733" w:type="dxa"/>
            <w:tcBorders>
              <w:top w:val="nil"/>
            </w:tcBorders>
            <w:shd w:val="clear" w:color="auto" w:fill="auto"/>
            <w:tcMar>
              <w:left w:w="48" w:type="dxa"/>
            </w:tcMar>
          </w:tcPr>
          <w:p w14:paraId="1B58D1F0"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Gerência de Proteção Especial (Creas)</w:t>
            </w:r>
            <w:r w:rsidRPr="005557A6">
              <w:rPr>
                <w:rFonts w:ascii="Arial" w:hAnsi="Arial" w:cs="Arial"/>
              </w:rPr>
              <w:br/>
            </w:r>
          </w:p>
        </w:tc>
        <w:tc>
          <w:tcPr>
            <w:tcW w:w="2375" w:type="dxa"/>
            <w:tcBorders>
              <w:top w:val="nil"/>
            </w:tcBorders>
            <w:shd w:val="clear" w:color="auto" w:fill="auto"/>
            <w:tcMar>
              <w:left w:w="48" w:type="dxa"/>
            </w:tcMar>
          </w:tcPr>
          <w:p w14:paraId="397A9B7C"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36.001.082440095.2.244</w:t>
            </w:r>
          </w:p>
        </w:tc>
        <w:tc>
          <w:tcPr>
            <w:tcW w:w="2263" w:type="dxa"/>
            <w:tcBorders>
              <w:top w:val="nil"/>
            </w:tcBorders>
            <w:shd w:val="clear" w:color="auto" w:fill="auto"/>
            <w:tcMar>
              <w:left w:w="48" w:type="dxa"/>
            </w:tcMar>
          </w:tcPr>
          <w:p w14:paraId="2FABBFD6" w14:textId="77777777" w:rsidR="005557A6" w:rsidRPr="005557A6" w:rsidRDefault="005557A6" w:rsidP="00A35E94">
            <w:pPr>
              <w:pBdr>
                <w:top w:val="nil"/>
                <w:left w:val="nil"/>
                <w:bottom w:val="nil"/>
                <w:right w:val="nil"/>
                <w:between w:val="nil"/>
              </w:pBdr>
              <w:spacing w:line="276" w:lineRule="auto"/>
              <w:ind w:left="720"/>
              <w:rPr>
                <w:rFonts w:ascii="Arial" w:hAnsi="Arial" w:cs="Arial"/>
              </w:rPr>
            </w:pPr>
            <w:r w:rsidRPr="005557A6">
              <w:rPr>
                <w:rFonts w:ascii="Arial" w:hAnsi="Arial" w:cs="Arial"/>
              </w:rPr>
              <w:t>1660</w:t>
            </w:r>
          </w:p>
        </w:tc>
        <w:tc>
          <w:tcPr>
            <w:tcW w:w="1843" w:type="dxa"/>
            <w:tcBorders>
              <w:top w:val="nil"/>
            </w:tcBorders>
            <w:shd w:val="clear" w:color="auto" w:fill="auto"/>
            <w:tcMar>
              <w:left w:w="48" w:type="dxa"/>
            </w:tcMar>
          </w:tcPr>
          <w:p w14:paraId="6AEB3BC6"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r w:rsidR="005557A6" w:rsidRPr="005557A6" w14:paraId="11E5092E" w14:textId="77777777" w:rsidTr="005557A6">
        <w:tc>
          <w:tcPr>
            <w:tcW w:w="2733" w:type="dxa"/>
            <w:tcBorders>
              <w:top w:val="nil"/>
            </w:tcBorders>
            <w:shd w:val="clear" w:color="auto" w:fill="auto"/>
            <w:tcMar>
              <w:left w:w="48" w:type="dxa"/>
            </w:tcMar>
          </w:tcPr>
          <w:p w14:paraId="6CBA6E61"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Gerência de Proteção Especial (Lgbtqia+)</w:t>
            </w:r>
            <w:r w:rsidRPr="005557A6">
              <w:rPr>
                <w:rFonts w:ascii="Arial" w:hAnsi="Arial" w:cs="Arial"/>
              </w:rPr>
              <w:br/>
            </w:r>
          </w:p>
        </w:tc>
        <w:tc>
          <w:tcPr>
            <w:tcW w:w="2375" w:type="dxa"/>
            <w:tcBorders>
              <w:top w:val="nil"/>
            </w:tcBorders>
            <w:shd w:val="clear" w:color="auto" w:fill="auto"/>
            <w:tcMar>
              <w:left w:w="48" w:type="dxa"/>
            </w:tcMar>
          </w:tcPr>
          <w:p w14:paraId="4729697D"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11.001.082440020.2.055</w:t>
            </w:r>
          </w:p>
        </w:tc>
        <w:tc>
          <w:tcPr>
            <w:tcW w:w="2263" w:type="dxa"/>
            <w:tcBorders>
              <w:top w:val="nil"/>
            </w:tcBorders>
            <w:shd w:val="clear" w:color="auto" w:fill="auto"/>
            <w:tcMar>
              <w:left w:w="48" w:type="dxa"/>
            </w:tcMar>
          </w:tcPr>
          <w:p w14:paraId="1AC0A9C4"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170500000020/1501</w:t>
            </w:r>
          </w:p>
        </w:tc>
        <w:tc>
          <w:tcPr>
            <w:tcW w:w="1843" w:type="dxa"/>
            <w:tcBorders>
              <w:top w:val="nil"/>
            </w:tcBorders>
            <w:shd w:val="clear" w:color="auto" w:fill="auto"/>
            <w:tcMar>
              <w:left w:w="48" w:type="dxa"/>
            </w:tcMar>
          </w:tcPr>
          <w:p w14:paraId="6C3D975F"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r w:rsidR="005557A6" w:rsidRPr="005557A6" w14:paraId="6A6170F1" w14:textId="77777777" w:rsidTr="005557A6">
        <w:tc>
          <w:tcPr>
            <w:tcW w:w="2733" w:type="dxa"/>
            <w:tcBorders>
              <w:top w:val="nil"/>
            </w:tcBorders>
            <w:shd w:val="clear" w:color="auto" w:fill="auto"/>
            <w:tcMar>
              <w:left w:w="48" w:type="dxa"/>
            </w:tcMar>
          </w:tcPr>
          <w:p w14:paraId="1A9DF252"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Gerência de Proteção Especial (Centro Pop)</w:t>
            </w:r>
          </w:p>
        </w:tc>
        <w:tc>
          <w:tcPr>
            <w:tcW w:w="2375" w:type="dxa"/>
            <w:tcBorders>
              <w:top w:val="nil"/>
            </w:tcBorders>
            <w:shd w:val="clear" w:color="auto" w:fill="auto"/>
            <w:tcMar>
              <w:left w:w="48" w:type="dxa"/>
            </w:tcMar>
          </w:tcPr>
          <w:p w14:paraId="3865E7A4"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36.001.082440094.2.242</w:t>
            </w:r>
          </w:p>
        </w:tc>
        <w:tc>
          <w:tcPr>
            <w:tcW w:w="2263" w:type="dxa"/>
            <w:tcBorders>
              <w:top w:val="nil"/>
            </w:tcBorders>
            <w:shd w:val="clear" w:color="auto" w:fill="auto"/>
            <w:tcMar>
              <w:left w:w="48" w:type="dxa"/>
            </w:tcMar>
          </w:tcPr>
          <w:p w14:paraId="38744CBB" w14:textId="77777777" w:rsidR="005557A6" w:rsidRPr="005557A6" w:rsidRDefault="005557A6" w:rsidP="00A35E94">
            <w:pPr>
              <w:pBdr>
                <w:top w:val="nil"/>
                <w:left w:val="nil"/>
                <w:bottom w:val="nil"/>
                <w:right w:val="nil"/>
                <w:between w:val="nil"/>
              </w:pBdr>
              <w:spacing w:line="276" w:lineRule="auto"/>
              <w:ind w:left="720"/>
              <w:rPr>
                <w:rFonts w:ascii="Arial" w:hAnsi="Arial" w:cs="Arial"/>
              </w:rPr>
            </w:pPr>
            <w:r w:rsidRPr="005557A6">
              <w:rPr>
                <w:rFonts w:ascii="Arial" w:hAnsi="Arial" w:cs="Arial"/>
              </w:rPr>
              <w:t>1500</w:t>
            </w:r>
          </w:p>
        </w:tc>
        <w:tc>
          <w:tcPr>
            <w:tcW w:w="1843" w:type="dxa"/>
            <w:tcBorders>
              <w:top w:val="nil"/>
            </w:tcBorders>
            <w:shd w:val="clear" w:color="auto" w:fill="auto"/>
            <w:tcMar>
              <w:left w:w="48" w:type="dxa"/>
            </w:tcMar>
          </w:tcPr>
          <w:p w14:paraId="60B066B7" w14:textId="77777777" w:rsidR="005557A6" w:rsidRPr="005557A6" w:rsidRDefault="005557A6" w:rsidP="00A35E94">
            <w:pPr>
              <w:pBdr>
                <w:top w:val="nil"/>
                <w:left w:val="nil"/>
                <w:bottom w:val="nil"/>
                <w:right w:val="nil"/>
                <w:between w:val="nil"/>
              </w:pBdr>
              <w:spacing w:line="276" w:lineRule="auto"/>
              <w:rPr>
                <w:rFonts w:ascii="Arial" w:hAnsi="Arial" w:cs="Arial"/>
              </w:rPr>
            </w:pPr>
            <w:r w:rsidRPr="005557A6">
              <w:rPr>
                <w:rFonts w:ascii="Arial" w:hAnsi="Arial" w:cs="Arial"/>
              </w:rPr>
              <w:t>4.4.9.0.52.01</w:t>
            </w:r>
          </w:p>
        </w:tc>
      </w:tr>
    </w:tbl>
    <w:p w14:paraId="120C7BB4" w14:textId="6F18AC1F" w:rsidR="00D90EA5" w:rsidRPr="008C13A3" w:rsidRDefault="00D90EA5" w:rsidP="00B07ADD">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B07ADD">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B07ADD">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B07ADD">
      <w:pPr>
        <w:pStyle w:val="PargrafodaLista"/>
        <w:numPr>
          <w:ilvl w:val="1"/>
          <w:numId w:val="1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B07ADD">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B07ADD">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w:t>
      </w:r>
      <w:r w:rsidRPr="008C13A3">
        <w:rPr>
          <w:rFonts w:ascii="Arial" w:hAnsi="Arial" w:cs="Arial"/>
        </w:rPr>
        <w:lastRenderedPageBreak/>
        <w:t xml:space="preserve">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B07ADD">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B07ADD">
      <w:pPr>
        <w:pStyle w:val="Nivel010"/>
        <w:numPr>
          <w:ilvl w:val="0"/>
          <w:numId w:val="1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B07ADD">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B07ADD">
      <w:pPr>
        <w:pStyle w:val="Nivel010"/>
        <w:numPr>
          <w:ilvl w:val="0"/>
          <w:numId w:val="1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B07ADD">
      <w:pPr>
        <w:pStyle w:val="PargrafodaLista"/>
        <w:numPr>
          <w:ilvl w:val="1"/>
          <w:numId w:val="1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B07ADD">
      <w:pPr>
        <w:pStyle w:val="PargrafodaLista"/>
        <w:numPr>
          <w:ilvl w:val="1"/>
          <w:numId w:val="1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68881945" w:rsidR="00320761" w:rsidRDefault="00320761" w:rsidP="001D32DF">
      <w:pPr>
        <w:spacing w:after="120"/>
        <w:jc w:val="center"/>
        <w:rPr>
          <w:rFonts w:ascii="Arial" w:hAnsi="Arial" w:cs="Arial"/>
          <w:bCs/>
        </w:rPr>
      </w:pPr>
    </w:p>
    <w:p w14:paraId="483E653A" w14:textId="77777777" w:rsidR="005557A6" w:rsidRPr="008C13A3" w:rsidRDefault="005557A6"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1CBE30E6" w:rsidR="00320761" w:rsidRDefault="00320761" w:rsidP="001D32DF">
      <w:pPr>
        <w:spacing w:after="120"/>
        <w:jc w:val="center"/>
        <w:rPr>
          <w:rFonts w:ascii="Arial" w:hAnsi="Arial" w:cs="Arial"/>
        </w:rPr>
      </w:pPr>
    </w:p>
    <w:p w14:paraId="47669E54" w14:textId="77777777" w:rsidR="005557A6" w:rsidRPr="008C13A3" w:rsidRDefault="005557A6"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16607" w14:textId="77777777" w:rsidR="00EE2AAA" w:rsidRDefault="00EE2AAA">
      <w:r>
        <w:separator/>
      </w:r>
    </w:p>
  </w:endnote>
  <w:endnote w:type="continuationSeparator" w:id="0">
    <w:p w14:paraId="6D6537E5" w14:textId="77777777" w:rsidR="00EE2AAA" w:rsidRDefault="00EE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95C7C" w14:textId="77777777" w:rsidR="00EE2AAA" w:rsidRDefault="00EE2AAA">
      <w:r>
        <w:separator/>
      </w:r>
    </w:p>
  </w:footnote>
  <w:footnote w:type="continuationSeparator" w:id="0">
    <w:p w14:paraId="058C1E0E" w14:textId="77777777" w:rsidR="00EE2AAA" w:rsidRDefault="00EE2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2AA5D5C8" w:rsidR="008743A2" w:rsidRPr="00D80C21" w:rsidRDefault="009043E0"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mc:AlternateContent>
        <mc:Choice Requires="wps">
          <w:drawing>
            <wp:anchor distT="0" distB="0" distL="114300" distR="114300" simplePos="0" relativeHeight="251658240" behindDoc="1" locked="0" layoutInCell="1" allowOverlap="1" wp14:anchorId="7CBEA225" wp14:editId="0D424028">
              <wp:simplePos x="0" y="0"/>
              <wp:positionH relativeFrom="column">
                <wp:posOffset>3687888</wp:posOffset>
              </wp:positionH>
              <wp:positionV relativeFrom="paragraph">
                <wp:posOffset>3774</wp:posOffset>
              </wp:positionV>
              <wp:extent cx="2019300" cy="647700"/>
              <wp:effectExtent l="0" t="0" r="19050" b="1905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7E0073B4" w14:textId="77777777" w:rsidR="009043E0" w:rsidRDefault="009043E0" w:rsidP="009043E0">
                          <w:pPr>
                            <w:pStyle w:val="SemEspaamento"/>
                          </w:pPr>
                          <w:r>
                            <w:rPr>
                              <w:rFonts w:cs="Calibri"/>
                              <w:sz w:val="20"/>
                              <w:szCs w:val="20"/>
                            </w:rPr>
                            <w:t>PROCESSO Nº: 2.719/2024</w:t>
                          </w:r>
                        </w:p>
                        <w:p w14:paraId="7263ACE2" w14:textId="77777777" w:rsidR="009043E0" w:rsidRDefault="009043E0" w:rsidP="009043E0">
                          <w:pPr>
                            <w:pStyle w:val="SemEspaamento"/>
                          </w:pPr>
                        </w:p>
                        <w:p w14:paraId="74EC5AE7" w14:textId="77777777" w:rsidR="009043E0" w:rsidRDefault="009043E0" w:rsidP="009043E0">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7CBEA225" id="Retângulo 1" o:spid="_x0000_s1026" style="position:absolute;margin-left:290.4pt;margin-top:.3pt;width:159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" strokeweight=".26mm">
              <v:stroke joinstyle="round"/>
              <v:path arrowok="t"/>
              <v:textbox>
                <w:txbxContent>
                  <w:p w14:paraId="7E0073B4" w14:textId="77777777" w:rsidR="009043E0" w:rsidRDefault="009043E0" w:rsidP="009043E0">
                    <w:pPr>
                      <w:pStyle w:val="SemEspaamento"/>
                    </w:pPr>
                    <w:r>
                      <w:rPr>
                        <w:rFonts w:cs="Calibri"/>
                        <w:sz w:val="20"/>
                        <w:szCs w:val="20"/>
                      </w:rPr>
                      <w:t>PROCESSO Nº: 2.719/2024</w:t>
                    </w:r>
                  </w:p>
                  <w:p w14:paraId="7263ACE2" w14:textId="77777777" w:rsidR="009043E0" w:rsidRDefault="009043E0" w:rsidP="009043E0">
                    <w:pPr>
                      <w:pStyle w:val="SemEspaamento"/>
                    </w:pPr>
                  </w:p>
                  <w:p w14:paraId="74EC5AE7" w14:textId="77777777" w:rsidR="009043E0" w:rsidRDefault="009043E0" w:rsidP="009043E0">
                    <w:pPr>
                      <w:pStyle w:val="SemEspaamento"/>
                    </w:pPr>
                    <w:r>
                      <w:rPr>
                        <w:rFonts w:cs="Calibri"/>
                        <w:sz w:val="20"/>
                        <w:szCs w:val="20"/>
                      </w:rPr>
                      <w:t xml:space="preserve">RUBRICA:______FOLHA:______ </w:t>
                    </w:r>
                    <w:r>
                      <w:rPr>
                        <w:sz w:val="20"/>
                        <w:szCs w:val="20"/>
                      </w:rPr>
                      <w:t>______</w:t>
                    </w:r>
                  </w:p>
                </w:txbxContent>
              </v:textbox>
            </v:rect>
          </w:pict>
        </mc:Fallback>
      </mc:AlternateContent>
    </w:r>
    <w:r w:rsidR="00D048D4">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10569B"/>
    <w:multiLevelType w:val="multilevel"/>
    <w:tmpl w:val="91DAE920"/>
    <w:lvl w:ilvl="0">
      <w:start w:val="1"/>
      <w:numFmt w:val="decimal"/>
      <w:lvlText w:val="%1."/>
      <w:lvlJc w:val="left"/>
      <w:pPr>
        <w:ind w:left="240" w:firstLine="0"/>
      </w:pPr>
      <w:rPr>
        <w:b/>
        <w:sz w:val="24"/>
        <w:szCs w:val="24"/>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41FC2E7A"/>
    <w:multiLevelType w:val="multilevel"/>
    <w:tmpl w:val="987A135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75C021DE"/>
    <w:multiLevelType w:val="multilevel"/>
    <w:tmpl w:val="D070F22E"/>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3"/>
  </w:num>
  <w:num w:numId="6">
    <w:abstractNumId w:val="11"/>
  </w:num>
  <w:num w:numId="7">
    <w:abstractNumId w:val="4"/>
  </w:num>
  <w:num w:numId="8">
    <w:abstractNumId w:val="9"/>
  </w:num>
  <w:num w:numId="9">
    <w:abstractNumId w:val="7"/>
  </w:num>
  <w:num w:numId="10">
    <w:abstractNumId w:val="2"/>
  </w:num>
  <w:num w:numId="11">
    <w:abstractNumId w:val="10"/>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1D9B"/>
    <w:rsid w:val="0007531B"/>
    <w:rsid w:val="00085E40"/>
    <w:rsid w:val="00090A03"/>
    <w:rsid w:val="00090C31"/>
    <w:rsid w:val="00092735"/>
    <w:rsid w:val="00093FDE"/>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1587"/>
    <w:rsid w:val="003649A2"/>
    <w:rsid w:val="00366D5F"/>
    <w:rsid w:val="00370B10"/>
    <w:rsid w:val="00374B3F"/>
    <w:rsid w:val="00380F2F"/>
    <w:rsid w:val="0038358C"/>
    <w:rsid w:val="00384538"/>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A8"/>
    <w:rsid w:val="005466C3"/>
    <w:rsid w:val="00546D34"/>
    <w:rsid w:val="0055035E"/>
    <w:rsid w:val="00552CD7"/>
    <w:rsid w:val="005548E3"/>
    <w:rsid w:val="005557A6"/>
    <w:rsid w:val="00557CD0"/>
    <w:rsid w:val="0056221F"/>
    <w:rsid w:val="00563586"/>
    <w:rsid w:val="00564A89"/>
    <w:rsid w:val="00571224"/>
    <w:rsid w:val="005722A3"/>
    <w:rsid w:val="00583909"/>
    <w:rsid w:val="00584594"/>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564"/>
    <w:rsid w:val="007506FB"/>
    <w:rsid w:val="0075652C"/>
    <w:rsid w:val="00763341"/>
    <w:rsid w:val="00773AA0"/>
    <w:rsid w:val="007767C7"/>
    <w:rsid w:val="00785644"/>
    <w:rsid w:val="00785D66"/>
    <w:rsid w:val="0079421E"/>
    <w:rsid w:val="00797F3F"/>
    <w:rsid w:val="007B0D84"/>
    <w:rsid w:val="007B28CD"/>
    <w:rsid w:val="007E7BBF"/>
    <w:rsid w:val="007F0EEE"/>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43E0"/>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473E4"/>
    <w:rsid w:val="00A74974"/>
    <w:rsid w:val="00A75B6C"/>
    <w:rsid w:val="00A87002"/>
    <w:rsid w:val="00A92914"/>
    <w:rsid w:val="00A94653"/>
    <w:rsid w:val="00A96E16"/>
    <w:rsid w:val="00AA4EF9"/>
    <w:rsid w:val="00AC1FD2"/>
    <w:rsid w:val="00AC69AD"/>
    <w:rsid w:val="00AD022C"/>
    <w:rsid w:val="00AD30DE"/>
    <w:rsid w:val="00AE2539"/>
    <w:rsid w:val="00AE7153"/>
    <w:rsid w:val="00AF4EE0"/>
    <w:rsid w:val="00AF5DD4"/>
    <w:rsid w:val="00AF6B88"/>
    <w:rsid w:val="00B0084D"/>
    <w:rsid w:val="00B02294"/>
    <w:rsid w:val="00B03288"/>
    <w:rsid w:val="00B061E6"/>
    <w:rsid w:val="00B07ADD"/>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032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47FD"/>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2AAA"/>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6114</Words>
  <Characters>33020</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47</cp:revision>
  <cp:lastPrinted>2025-09-16T20:20:00Z</cp:lastPrinted>
  <dcterms:created xsi:type="dcterms:W3CDTF">2023-08-18T18:10:00Z</dcterms:created>
  <dcterms:modified xsi:type="dcterms:W3CDTF">2025-09-16T20:20:00Z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